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4280EC6" w14:textId="227CD989" w:rsidR="00B8246D" w:rsidRDefault="00B8246D" w:rsidP="00277E3D">
      <w:pPr>
        <w:jc w:val="center"/>
      </w:pPr>
      <w:r w:rsidRPr="00647BF1">
        <w:rPr>
          <w:b/>
          <w:noProof/>
        </w:rPr>
        <w:drawing>
          <wp:inline distT="0" distB="0" distL="0" distR="0" wp14:anchorId="174B0B5C" wp14:editId="2AB22214">
            <wp:extent cx="5231130" cy="10312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130" cy="1031240"/>
                    </a:xfrm>
                    <a:prstGeom prst="rect">
                      <a:avLst/>
                    </a:prstGeom>
                    <a:noFill/>
                    <a:ln>
                      <a:noFill/>
                    </a:ln>
                  </pic:spPr>
                </pic:pic>
              </a:graphicData>
            </a:graphic>
          </wp:inline>
        </w:drawing>
      </w:r>
    </w:p>
    <w:p w14:paraId="3FCBB83E" w14:textId="77777777" w:rsidR="00B8246D" w:rsidRDefault="00B8246D" w:rsidP="00277E3D">
      <w:pPr>
        <w:jc w:val="center"/>
      </w:pPr>
    </w:p>
    <w:p w14:paraId="0567F52C" w14:textId="4B4FF38F" w:rsidR="00277E3D" w:rsidRPr="00B8246D" w:rsidRDefault="00B8246D" w:rsidP="00277E3D">
      <w:pPr>
        <w:jc w:val="center"/>
        <w:rPr>
          <w:rFonts w:ascii="Times New Roman" w:hAnsi="Times New Roman" w:cs="Times New Roman"/>
          <w:b/>
        </w:rPr>
      </w:pPr>
      <w:r w:rsidRPr="00B8246D">
        <w:rPr>
          <w:rFonts w:ascii="Times New Roman" w:hAnsi="Times New Roman" w:cs="Times New Roman"/>
          <w:b/>
        </w:rPr>
        <w:t xml:space="preserve">Job Description: </w:t>
      </w:r>
      <w:r w:rsidR="00800769">
        <w:rPr>
          <w:rFonts w:ascii="Times New Roman" w:hAnsi="Times New Roman" w:cs="Times New Roman"/>
          <w:b/>
        </w:rPr>
        <w:t>Education Research</w:t>
      </w:r>
      <w:r w:rsidR="00E17AB3" w:rsidRPr="00B8246D">
        <w:rPr>
          <w:rFonts w:ascii="Times New Roman" w:hAnsi="Times New Roman" w:cs="Times New Roman"/>
          <w:b/>
        </w:rPr>
        <w:t xml:space="preserve"> Committee</w:t>
      </w:r>
    </w:p>
    <w:p w14:paraId="003559E0" w14:textId="77777777" w:rsidR="00277E3D" w:rsidRPr="00B8246D" w:rsidRDefault="00277E3D" w:rsidP="00277E3D">
      <w:pPr>
        <w:jc w:val="center"/>
        <w:rPr>
          <w:rFonts w:ascii="Times New Roman" w:hAnsi="Times New Roman" w:cs="Times New Roman"/>
        </w:rPr>
      </w:pPr>
    </w:p>
    <w:p w14:paraId="78E2C004" w14:textId="77777777" w:rsidR="009C2103" w:rsidRPr="00BD7A07" w:rsidRDefault="009C2103" w:rsidP="00BD7A07">
      <w:pPr>
        <w:rPr>
          <w:rFonts w:ascii="Times New Roman" w:hAnsi="Times New Roman" w:cs="Times New Roman"/>
          <w:snapToGrid w:val="0"/>
          <w:color w:val="000000"/>
          <w:sz w:val="22"/>
          <w:szCs w:val="22"/>
        </w:rPr>
      </w:pPr>
      <w:r w:rsidRPr="00BD7A07">
        <w:rPr>
          <w:rFonts w:ascii="Times New Roman" w:hAnsi="Times New Roman" w:cs="Times New Roman"/>
          <w:b/>
          <w:snapToGrid w:val="0"/>
          <w:color w:val="000000"/>
          <w:sz w:val="22"/>
          <w:szCs w:val="22"/>
        </w:rPr>
        <w:t>Composition</w:t>
      </w:r>
      <w:r w:rsidRPr="00BD7A07">
        <w:rPr>
          <w:rFonts w:ascii="Times New Roman" w:hAnsi="Times New Roman" w:cs="Times New Roman"/>
          <w:snapToGrid w:val="0"/>
          <w:color w:val="000000"/>
          <w:sz w:val="22"/>
          <w:szCs w:val="22"/>
        </w:rPr>
        <w:t xml:space="preserve">:  </w:t>
      </w:r>
      <w:r w:rsidRPr="00BD7A07">
        <w:rPr>
          <w:rFonts w:ascii="Times New Roman" w:hAnsi="Times New Roman" w:cs="Times New Roman"/>
          <w:sz w:val="22"/>
          <w:szCs w:val="22"/>
        </w:rPr>
        <w:t>The suggested composition of the Education Research C</w:t>
      </w:r>
      <w:r w:rsidRPr="00BD7A07">
        <w:rPr>
          <w:rFonts w:ascii="Times New Roman" w:hAnsi="Times New Roman" w:cs="Times New Roman"/>
          <w:snapToGrid w:val="0"/>
          <w:color w:val="000000"/>
          <w:sz w:val="22"/>
          <w:szCs w:val="22"/>
        </w:rPr>
        <w:t>ommittee is:</w:t>
      </w:r>
    </w:p>
    <w:p w14:paraId="2DED6532" w14:textId="77777777" w:rsidR="009C2103" w:rsidRPr="00BD7A07" w:rsidRDefault="009C2103" w:rsidP="00BD7A07">
      <w:pPr>
        <w:pStyle w:val="ListParagraph"/>
        <w:numPr>
          <w:ilvl w:val="0"/>
          <w:numId w:val="17"/>
        </w:num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1 program director</w:t>
      </w:r>
    </w:p>
    <w:p w14:paraId="074FFFDE" w14:textId="77777777" w:rsidR="009C2103" w:rsidRPr="00BD7A07" w:rsidRDefault="009C2103" w:rsidP="00BD7A07">
      <w:pPr>
        <w:pStyle w:val="ListParagraph"/>
        <w:numPr>
          <w:ilvl w:val="0"/>
          <w:numId w:val="17"/>
        </w:num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1 faculty from an ACAPT member institution</w:t>
      </w:r>
    </w:p>
    <w:p w14:paraId="23178CD1" w14:textId="77777777" w:rsidR="009C2103" w:rsidRPr="00BD7A07" w:rsidRDefault="009C2103" w:rsidP="00BD7A07">
      <w:pPr>
        <w:pStyle w:val="ListParagraph"/>
        <w:numPr>
          <w:ilvl w:val="0"/>
          <w:numId w:val="17"/>
        </w:num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1 member from the Education &amp; Pedagogy Consortium (not on the Consortium’s board)</w:t>
      </w:r>
    </w:p>
    <w:p w14:paraId="5981E4FF" w14:textId="77777777" w:rsidR="009C2103" w:rsidRPr="00BD7A07" w:rsidRDefault="009C2103" w:rsidP="00BD7A07">
      <w:pPr>
        <w:pStyle w:val="ListParagraph"/>
        <w:numPr>
          <w:ilvl w:val="0"/>
          <w:numId w:val="17"/>
        </w:num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1 member from the Clinical Reasoning Curricula &amp; Assessment Consortium (not on the Consortium’s board)</w:t>
      </w:r>
    </w:p>
    <w:p w14:paraId="673AF7E1" w14:textId="77777777" w:rsidR="009C2103" w:rsidRPr="00BD7A07" w:rsidRDefault="009C2103" w:rsidP="00BD7A07">
      <w:pPr>
        <w:pStyle w:val="ListParagraph"/>
        <w:numPr>
          <w:ilvl w:val="0"/>
          <w:numId w:val="17"/>
        </w:num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1 member from the Research-Intensive Programs in Physical Therapy Consortium (not on the Consortium’s board)</w:t>
      </w:r>
    </w:p>
    <w:p w14:paraId="5C446C7F" w14:textId="77777777" w:rsidR="009C2103" w:rsidRPr="00BD7A07" w:rsidRDefault="009C2103" w:rsidP="00BD7A07">
      <w:pPr>
        <w:pStyle w:val="ListParagraph"/>
        <w:numPr>
          <w:ilvl w:val="0"/>
          <w:numId w:val="17"/>
        </w:num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1 member from the National Consortium of Clinical Educators (not on the Consortium’s board)</w:t>
      </w:r>
    </w:p>
    <w:p w14:paraId="48032458" w14:textId="77777777" w:rsidR="009C2103" w:rsidRPr="00BD7A07" w:rsidRDefault="009C2103" w:rsidP="00BD7A07">
      <w:pPr>
        <w:pStyle w:val="ListParagraph"/>
        <w:numPr>
          <w:ilvl w:val="0"/>
          <w:numId w:val="17"/>
        </w:num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1 member from the Academy’s Scholarship of Education Special Interest Group (not on the SIG’s board)</w:t>
      </w:r>
    </w:p>
    <w:p w14:paraId="3B962680" w14:textId="77777777" w:rsidR="009C2103" w:rsidRPr="00BD7A07" w:rsidRDefault="009C2103" w:rsidP="00BD7A07">
      <w:pPr>
        <w:ind w:left="360"/>
        <w:rPr>
          <w:rFonts w:ascii="Times New Roman" w:hAnsi="Times New Roman" w:cs="Times New Roman"/>
          <w:snapToGrid w:val="0"/>
          <w:color w:val="000000"/>
          <w:sz w:val="22"/>
          <w:szCs w:val="22"/>
        </w:rPr>
      </w:pPr>
    </w:p>
    <w:p w14:paraId="0A4FD0DF" w14:textId="77777777" w:rsidR="009C2103" w:rsidRPr="00BD7A07" w:rsidRDefault="009C2103" w:rsidP="00BD7A07">
      <w:pPr>
        <w:ind w:left="360"/>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The committee’s membership shall reflect the diversity of ACAPT member institutions.</w:t>
      </w:r>
    </w:p>
    <w:p w14:paraId="330CC2B8" w14:textId="77777777" w:rsidR="009C2103" w:rsidRPr="00BD7A07" w:rsidRDefault="009C2103" w:rsidP="00BD7A07">
      <w:pPr>
        <w:rPr>
          <w:rFonts w:ascii="Times New Roman" w:hAnsi="Times New Roman" w:cs="Times New Roman"/>
          <w:snapToGrid w:val="0"/>
          <w:color w:val="000000"/>
          <w:sz w:val="22"/>
          <w:szCs w:val="22"/>
        </w:rPr>
      </w:pPr>
    </w:p>
    <w:p w14:paraId="0B96E02B" w14:textId="77777777" w:rsidR="009C2103" w:rsidRPr="00BD7A07" w:rsidRDefault="009C2103" w:rsidP="00BD7A07">
      <w:p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 xml:space="preserve">The board shall appoint one of the above individuals to serve as Chair of this committee.  The committee will also have an ACAPT board member liaison. </w:t>
      </w:r>
    </w:p>
    <w:p w14:paraId="19C5A564" w14:textId="77777777" w:rsidR="00277E3D" w:rsidRPr="00BD7A07" w:rsidRDefault="00277E3D" w:rsidP="00BD7A07">
      <w:pPr>
        <w:rPr>
          <w:rFonts w:ascii="Times New Roman" w:hAnsi="Times New Roman" w:cs="Times New Roman"/>
          <w:sz w:val="22"/>
          <w:szCs w:val="22"/>
        </w:rPr>
      </w:pPr>
    </w:p>
    <w:p w14:paraId="0B393AA3" w14:textId="77777777" w:rsidR="00BC58B8" w:rsidRPr="00BD7A07" w:rsidRDefault="00277E3D" w:rsidP="00BD7A07">
      <w:pPr>
        <w:tabs>
          <w:tab w:val="left" w:pos="360"/>
          <w:tab w:val="left" w:pos="720"/>
          <w:tab w:val="left" w:pos="1080"/>
          <w:tab w:val="left" w:pos="1440"/>
          <w:tab w:val="left" w:pos="1800"/>
        </w:tabs>
        <w:rPr>
          <w:rFonts w:ascii="Times New Roman" w:hAnsi="Times New Roman" w:cs="Times New Roman"/>
          <w:snapToGrid w:val="0"/>
          <w:color w:val="000000"/>
          <w:sz w:val="22"/>
          <w:szCs w:val="22"/>
        </w:rPr>
      </w:pPr>
      <w:r w:rsidRPr="00BD7A07">
        <w:rPr>
          <w:rFonts w:ascii="Times New Roman" w:hAnsi="Times New Roman" w:cs="Times New Roman"/>
          <w:b/>
          <w:sz w:val="22"/>
          <w:szCs w:val="22"/>
        </w:rPr>
        <w:t>Term</w:t>
      </w:r>
      <w:r w:rsidRPr="00BD7A07">
        <w:rPr>
          <w:rFonts w:ascii="Times New Roman" w:hAnsi="Times New Roman" w:cs="Times New Roman"/>
          <w:sz w:val="22"/>
          <w:szCs w:val="22"/>
        </w:rPr>
        <w:t xml:space="preserve">:  </w:t>
      </w:r>
      <w:r w:rsidR="00367263" w:rsidRPr="00BD7A07">
        <w:rPr>
          <w:rFonts w:ascii="Times New Roman" w:hAnsi="Times New Roman" w:cs="Times New Roman"/>
          <w:snapToGrid w:val="0"/>
          <w:color w:val="000000"/>
          <w:sz w:val="22"/>
          <w:szCs w:val="22"/>
        </w:rPr>
        <w:t xml:space="preserve">The chair of this committee is appointed by the </w:t>
      </w:r>
      <w:r w:rsidR="00DC0769" w:rsidRPr="00BD7A07">
        <w:rPr>
          <w:rFonts w:ascii="Times New Roman" w:hAnsi="Times New Roman" w:cs="Times New Roman"/>
          <w:snapToGrid w:val="0"/>
          <w:color w:val="000000"/>
          <w:sz w:val="22"/>
          <w:szCs w:val="22"/>
        </w:rPr>
        <w:t>Board of Directors</w:t>
      </w:r>
      <w:r w:rsidR="00367263" w:rsidRPr="00BD7A07">
        <w:rPr>
          <w:rFonts w:ascii="Times New Roman" w:hAnsi="Times New Roman" w:cs="Times New Roman"/>
          <w:snapToGrid w:val="0"/>
          <w:color w:val="000000"/>
          <w:sz w:val="22"/>
          <w:szCs w:val="22"/>
        </w:rPr>
        <w:t xml:space="preserve"> at the beginning of the term. There is </w:t>
      </w:r>
      <w:r w:rsidR="00DC0769" w:rsidRPr="00BD7A07">
        <w:rPr>
          <w:rFonts w:ascii="Times New Roman" w:hAnsi="Times New Roman" w:cs="Times New Roman"/>
          <w:snapToGrid w:val="0"/>
          <w:color w:val="000000"/>
          <w:sz w:val="22"/>
          <w:szCs w:val="22"/>
        </w:rPr>
        <w:t>a 3-year</w:t>
      </w:r>
      <w:r w:rsidR="00367263" w:rsidRPr="00BD7A07">
        <w:rPr>
          <w:rFonts w:ascii="Times New Roman" w:hAnsi="Times New Roman" w:cs="Times New Roman"/>
          <w:snapToGrid w:val="0"/>
          <w:color w:val="000000"/>
          <w:sz w:val="22"/>
          <w:szCs w:val="22"/>
        </w:rPr>
        <w:t xml:space="preserve"> term limit</w:t>
      </w:r>
      <w:r w:rsidR="00F734A2" w:rsidRPr="00BD7A07">
        <w:rPr>
          <w:rFonts w:ascii="Times New Roman" w:hAnsi="Times New Roman" w:cs="Times New Roman"/>
          <w:snapToGrid w:val="0"/>
          <w:color w:val="000000"/>
          <w:sz w:val="22"/>
          <w:szCs w:val="22"/>
        </w:rPr>
        <w:t xml:space="preserve"> for committee members</w:t>
      </w:r>
      <w:r w:rsidR="00DC0769" w:rsidRPr="00BD7A07">
        <w:rPr>
          <w:rFonts w:ascii="Times New Roman" w:hAnsi="Times New Roman" w:cs="Times New Roman"/>
          <w:snapToGrid w:val="0"/>
          <w:color w:val="000000"/>
          <w:sz w:val="22"/>
          <w:szCs w:val="22"/>
        </w:rPr>
        <w:t xml:space="preserve"> and no committee member may serve more than two consecutive terms without board approval</w:t>
      </w:r>
      <w:r w:rsidR="00367263" w:rsidRPr="00BD7A07">
        <w:rPr>
          <w:rFonts w:ascii="Times New Roman" w:hAnsi="Times New Roman" w:cs="Times New Roman"/>
          <w:snapToGrid w:val="0"/>
          <w:color w:val="000000"/>
          <w:sz w:val="22"/>
          <w:szCs w:val="22"/>
        </w:rPr>
        <w:t>.</w:t>
      </w:r>
      <w:r w:rsidR="00BC58B8" w:rsidRPr="00BD7A07">
        <w:rPr>
          <w:rFonts w:ascii="Times New Roman" w:hAnsi="Times New Roman" w:cs="Times New Roman"/>
          <w:snapToGrid w:val="0"/>
          <w:color w:val="000000"/>
          <w:sz w:val="22"/>
          <w:szCs w:val="22"/>
        </w:rPr>
        <w:t xml:space="preserve">  </w:t>
      </w:r>
    </w:p>
    <w:p w14:paraId="4E30587A" w14:textId="77777777" w:rsidR="00BC58B8" w:rsidRPr="00BD7A07" w:rsidRDefault="00BC58B8" w:rsidP="00BD7A07">
      <w:pPr>
        <w:tabs>
          <w:tab w:val="left" w:pos="360"/>
          <w:tab w:val="left" w:pos="720"/>
          <w:tab w:val="left" w:pos="1080"/>
          <w:tab w:val="left" w:pos="1440"/>
          <w:tab w:val="left" w:pos="1800"/>
        </w:tabs>
        <w:rPr>
          <w:rFonts w:ascii="Times New Roman" w:hAnsi="Times New Roman" w:cs="Times New Roman"/>
          <w:snapToGrid w:val="0"/>
          <w:color w:val="000000"/>
          <w:sz w:val="22"/>
          <w:szCs w:val="22"/>
        </w:rPr>
      </w:pPr>
    </w:p>
    <w:p w14:paraId="4E66BDF4" w14:textId="5F65BAAC" w:rsidR="00367263" w:rsidRPr="00BD7A07" w:rsidRDefault="00BC58B8" w:rsidP="00BD7A07">
      <w:pPr>
        <w:tabs>
          <w:tab w:val="left" w:pos="360"/>
          <w:tab w:val="left" w:pos="720"/>
          <w:tab w:val="left" w:pos="1080"/>
          <w:tab w:val="left" w:pos="1440"/>
          <w:tab w:val="left" w:pos="1800"/>
        </w:tabs>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In the initial formation of the Committee, the chair and one half of the committee will serve a 3-year term and the remaining appointed members will serve a 2-year term.  This will help to facilitate staggered terms so that historical knowledge will not be lost between appointments.</w:t>
      </w:r>
    </w:p>
    <w:p w14:paraId="56920C91" w14:textId="77777777" w:rsidR="00277E3D" w:rsidRPr="00BD7A07" w:rsidRDefault="00277E3D" w:rsidP="00BD7A07">
      <w:pPr>
        <w:rPr>
          <w:rFonts w:ascii="Times New Roman" w:hAnsi="Times New Roman" w:cs="Times New Roman"/>
          <w:sz w:val="22"/>
          <w:szCs w:val="22"/>
        </w:rPr>
      </w:pPr>
    </w:p>
    <w:p w14:paraId="3BF8FB4E" w14:textId="7F92209A" w:rsidR="00B8246D" w:rsidRPr="00BD7A07" w:rsidRDefault="00B8246D" w:rsidP="00BD7A07">
      <w:pPr>
        <w:rPr>
          <w:rFonts w:ascii="Times New Roman" w:hAnsi="Times New Roman" w:cs="Times New Roman"/>
          <w:color w:val="000000"/>
          <w:sz w:val="22"/>
          <w:szCs w:val="22"/>
          <w:u w:val="single"/>
        </w:rPr>
      </w:pPr>
      <w:r w:rsidRPr="00BD7A07">
        <w:rPr>
          <w:rFonts w:ascii="Times New Roman" w:hAnsi="Times New Roman" w:cs="Times New Roman"/>
          <w:b/>
          <w:sz w:val="22"/>
          <w:szCs w:val="22"/>
        </w:rPr>
        <w:t xml:space="preserve">Elected/Appointed: </w:t>
      </w:r>
      <w:r w:rsidRPr="00BD7A07">
        <w:rPr>
          <w:rFonts w:ascii="Times New Roman" w:hAnsi="Times New Roman" w:cs="Times New Roman"/>
          <w:color w:val="000000"/>
          <w:sz w:val="22"/>
          <w:szCs w:val="22"/>
        </w:rPr>
        <w:t xml:space="preserve"> </w:t>
      </w:r>
      <w:r w:rsidR="00BC58B8" w:rsidRPr="00BD7A07">
        <w:rPr>
          <w:rFonts w:ascii="Times New Roman" w:hAnsi="Times New Roman" w:cs="Times New Roman"/>
          <w:color w:val="000000"/>
          <w:sz w:val="22"/>
          <w:szCs w:val="22"/>
        </w:rPr>
        <w:t xml:space="preserve">All committee members will be </w:t>
      </w:r>
      <w:r w:rsidR="00844CD2" w:rsidRPr="00BD7A07">
        <w:rPr>
          <w:rFonts w:ascii="Times New Roman" w:hAnsi="Times New Roman" w:cs="Times New Roman"/>
          <w:color w:val="000000"/>
          <w:sz w:val="22"/>
          <w:szCs w:val="22"/>
        </w:rPr>
        <w:t>appointed</w:t>
      </w:r>
      <w:r w:rsidRPr="00BD7A07">
        <w:rPr>
          <w:rFonts w:ascii="Times New Roman" w:hAnsi="Times New Roman" w:cs="Times New Roman"/>
          <w:color w:val="000000"/>
          <w:sz w:val="22"/>
          <w:szCs w:val="22"/>
        </w:rPr>
        <w:t>.  Appointee must be an “Individual Member” of an ACAPT member institution, as defined in the ACAPT bylaws.</w:t>
      </w:r>
    </w:p>
    <w:p w14:paraId="59CDB700" w14:textId="77777777" w:rsidR="00B8246D" w:rsidRPr="00BD7A07" w:rsidRDefault="00B8246D" w:rsidP="00BD7A07">
      <w:pPr>
        <w:rPr>
          <w:rFonts w:ascii="Times New Roman" w:hAnsi="Times New Roman" w:cs="Times New Roman"/>
          <w:sz w:val="22"/>
          <w:szCs w:val="22"/>
        </w:rPr>
      </w:pPr>
    </w:p>
    <w:p w14:paraId="362C5B40" w14:textId="23D762C4" w:rsidR="00684731" w:rsidRPr="00BD7A07" w:rsidRDefault="009C2103" w:rsidP="00BD7A07">
      <w:pPr>
        <w:rPr>
          <w:rFonts w:ascii="Times New Roman" w:hAnsi="Times New Roman" w:cs="Times New Roman"/>
          <w:sz w:val="22"/>
          <w:szCs w:val="22"/>
        </w:rPr>
      </w:pPr>
      <w:r w:rsidRPr="00BD7A07">
        <w:rPr>
          <w:rFonts w:ascii="Times New Roman" w:hAnsi="Times New Roman" w:cs="Times New Roman"/>
          <w:b/>
          <w:sz w:val="22"/>
          <w:szCs w:val="22"/>
        </w:rPr>
        <w:t>Charge</w:t>
      </w:r>
      <w:r w:rsidR="00277E3D" w:rsidRPr="00BD7A07">
        <w:rPr>
          <w:rFonts w:ascii="Times New Roman" w:hAnsi="Times New Roman" w:cs="Times New Roman"/>
          <w:sz w:val="22"/>
          <w:szCs w:val="22"/>
        </w:rPr>
        <w:t>:</w:t>
      </w:r>
      <w:r w:rsidR="00913571" w:rsidRPr="00BD7A07">
        <w:rPr>
          <w:rFonts w:ascii="Times New Roman" w:hAnsi="Times New Roman" w:cs="Times New Roman"/>
          <w:sz w:val="22"/>
          <w:szCs w:val="22"/>
        </w:rPr>
        <w:t xml:space="preserve">  The </w:t>
      </w:r>
      <w:r w:rsidRPr="00BD7A07">
        <w:rPr>
          <w:rFonts w:ascii="Times New Roman" w:hAnsi="Times New Roman" w:cs="Times New Roman"/>
          <w:sz w:val="22"/>
          <w:szCs w:val="22"/>
        </w:rPr>
        <w:t>charge</w:t>
      </w:r>
      <w:r w:rsidR="00684731" w:rsidRPr="00BD7A07">
        <w:rPr>
          <w:rFonts w:ascii="Times New Roman" w:hAnsi="Times New Roman" w:cs="Times New Roman"/>
          <w:sz w:val="22"/>
          <w:szCs w:val="22"/>
        </w:rPr>
        <w:t xml:space="preserve"> of the </w:t>
      </w:r>
      <w:r w:rsidR="00440D14" w:rsidRPr="00BD7A07">
        <w:rPr>
          <w:rFonts w:ascii="Times New Roman" w:hAnsi="Times New Roman" w:cs="Times New Roman"/>
          <w:sz w:val="22"/>
          <w:szCs w:val="22"/>
        </w:rPr>
        <w:t>Education Research</w:t>
      </w:r>
      <w:r w:rsidR="00367263" w:rsidRPr="00BD7A07">
        <w:rPr>
          <w:rFonts w:ascii="Times New Roman" w:hAnsi="Times New Roman" w:cs="Times New Roman"/>
          <w:sz w:val="22"/>
          <w:szCs w:val="22"/>
        </w:rPr>
        <w:t xml:space="preserve"> Committee </w:t>
      </w:r>
      <w:r w:rsidR="00EE56C5" w:rsidRPr="00BD7A07">
        <w:rPr>
          <w:rFonts w:ascii="Times New Roman" w:hAnsi="Times New Roman" w:cs="Times New Roman"/>
          <w:sz w:val="22"/>
          <w:szCs w:val="22"/>
        </w:rPr>
        <w:t xml:space="preserve">is to </w:t>
      </w:r>
      <w:r w:rsidR="00684731" w:rsidRPr="00BD7A07">
        <w:rPr>
          <w:rFonts w:ascii="Times New Roman" w:hAnsi="Times New Roman" w:cs="Times New Roman"/>
          <w:sz w:val="22"/>
          <w:szCs w:val="22"/>
        </w:rPr>
        <w:t>build the body of active and engaged education researchers within the academic physical t</w:t>
      </w:r>
      <w:r w:rsidRPr="00BD7A07">
        <w:rPr>
          <w:rFonts w:ascii="Times New Roman" w:hAnsi="Times New Roman" w:cs="Times New Roman"/>
          <w:sz w:val="22"/>
          <w:szCs w:val="22"/>
        </w:rPr>
        <w:t>herapy profession.  The goals include, but are not limited to</w:t>
      </w:r>
      <w:r w:rsidR="00684731" w:rsidRPr="00BD7A07">
        <w:rPr>
          <w:rFonts w:ascii="Times New Roman" w:hAnsi="Times New Roman" w:cs="Times New Roman"/>
          <w:sz w:val="22"/>
          <w:szCs w:val="22"/>
        </w:rPr>
        <w:t>:</w:t>
      </w:r>
    </w:p>
    <w:p w14:paraId="6451299A" w14:textId="43B564D1" w:rsidR="00684731" w:rsidRPr="00BD7A07" w:rsidRDefault="00684731"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w:t>
      </w:r>
      <w:r w:rsidR="00440D14" w:rsidRPr="00BD7A07">
        <w:rPr>
          <w:rFonts w:ascii="Times New Roman" w:hAnsi="Times New Roman" w:cs="Times New Roman"/>
          <w:sz w:val="22"/>
          <w:szCs w:val="22"/>
        </w:rPr>
        <w:t xml:space="preserve"> </w:t>
      </w:r>
      <w:r w:rsidRPr="00BD7A07">
        <w:rPr>
          <w:rFonts w:ascii="Times New Roman" w:hAnsi="Times New Roman" w:cs="Times New Roman"/>
          <w:sz w:val="22"/>
          <w:szCs w:val="22"/>
        </w:rPr>
        <w:t>enhance awareness and participation in</w:t>
      </w:r>
      <w:r w:rsidR="00440D14" w:rsidRPr="00BD7A07">
        <w:rPr>
          <w:rFonts w:ascii="Times New Roman" w:hAnsi="Times New Roman" w:cs="Times New Roman"/>
          <w:sz w:val="22"/>
          <w:szCs w:val="22"/>
        </w:rPr>
        <w:t xml:space="preserve"> the </w:t>
      </w:r>
      <w:r w:rsidRPr="00BD7A07">
        <w:rPr>
          <w:rFonts w:ascii="Times New Roman" w:hAnsi="Times New Roman" w:cs="Times New Roman"/>
          <w:sz w:val="22"/>
          <w:szCs w:val="22"/>
        </w:rPr>
        <w:t>PT</w:t>
      </w:r>
      <w:r w:rsidR="00440D14" w:rsidRPr="00BD7A07">
        <w:rPr>
          <w:rFonts w:ascii="Times New Roman" w:hAnsi="Times New Roman" w:cs="Times New Roman"/>
          <w:sz w:val="22"/>
          <w:szCs w:val="22"/>
        </w:rPr>
        <w:t xml:space="preserve"> Education Research Network</w:t>
      </w:r>
      <w:r w:rsidRPr="00BD7A07">
        <w:rPr>
          <w:rFonts w:ascii="Times New Roman" w:hAnsi="Times New Roman" w:cs="Times New Roman"/>
          <w:sz w:val="22"/>
          <w:szCs w:val="22"/>
        </w:rPr>
        <w:t xml:space="preserve"> and its related activities</w:t>
      </w:r>
      <w:r w:rsidR="00A77AAB" w:rsidRPr="00BD7A07">
        <w:rPr>
          <w:rFonts w:ascii="Times New Roman" w:hAnsi="Times New Roman" w:cs="Times New Roman"/>
          <w:sz w:val="22"/>
          <w:szCs w:val="22"/>
        </w:rPr>
        <w:t xml:space="preserve">; </w:t>
      </w:r>
    </w:p>
    <w:p w14:paraId="1F0416A0" w14:textId="0548611A" w:rsidR="0066748D" w:rsidRPr="00BD7A07" w:rsidRDefault="0066748D"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increase the number of Education Research Mentors and ensure their active engagement through promotion of the mentorship opportunities on the Network;</w:t>
      </w:r>
    </w:p>
    <w:p w14:paraId="44C1CF07" w14:textId="3E7B724F" w:rsidR="00AD2FD1" w:rsidRPr="00BD7A07" w:rsidRDefault="00AD2FD1"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increase the number of individual</w:t>
      </w:r>
      <w:r w:rsidR="00E562D2" w:rsidRPr="00BD7A07">
        <w:rPr>
          <w:rFonts w:ascii="Times New Roman" w:hAnsi="Times New Roman" w:cs="Times New Roman"/>
          <w:sz w:val="22"/>
          <w:szCs w:val="22"/>
        </w:rPr>
        <w:t>s</w:t>
      </w:r>
      <w:r w:rsidRPr="00BD7A07">
        <w:rPr>
          <w:rFonts w:ascii="Times New Roman" w:hAnsi="Times New Roman" w:cs="Times New Roman"/>
          <w:sz w:val="22"/>
          <w:szCs w:val="22"/>
        </w:rPr>
        <w:t xml:space="preserve"> engaged in education research;</w:t>
      </w:r>
    </w:p>
    <w:p w14:paraId="7EA1D1E6" w14:textId="48E9C535" w:rsidR="00AD2FD1" w:rsidRPr="00BD7A07" w:rsidRDefault="00AD2FD1"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facilitate the development of the body of education researchers in physical therapy education;</w:t>
      </w:r>
    </w:p>
    <w:p w14:paraId="24835BFF" w14:textId="1752ED37" w:rsidR="00AD2FD1" w:rsidRPr="00BD7A07" w:rsidRDefault="00AD2FD1"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facilitate and encourage collaborative educational research efforts between institutions;</w:t>
      </w:r>
    </w:p>
    <w:p w14:paraId="0C08D4A1" w14:textId="10A5124A" w:rsidR="00725121" w:rsidRPr="00BD7A07" w:rsidRDefault="00725121"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lastRenderedPageBreak/>
        <w:t>To support and lead where possible in the strategies for implementation of the recommendations from the Education Research Strategy Meeting sponsored by the Education Leadership Partnership;</w:t>
      </w:r>
    </w:p>
    <w:p w14:paraId="3C3CDBD2" w14:textId="1C254724" w:rsidR="00A77AAB" w:rsidRPr="00BD7A07" w:rsidRDefault="00725121"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increase registration for MERC and GAMER workshops, and other non-dues revenue opportunities identified by the committee;</w:t>
      </w:r>
    </w:p>
    <w:p w14:paraId="5740816A" w14:textId="77777777" w:rsidR="00F472A5" w:rsidRPr="00BD7A07" w:rsidRDefault="00F472A5"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identify opportunities for grants in education research;</w:t>
      </w:r>
    </w:p>
    <w:p w14:paraId="60B1AE53" w14:textId="77777777" w:rsidR="00F472A5" w:rsidRPr="00BD7A07" w:rsidRDefault="00F472A5"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guide programs for increased scholarship;</w:t>
      </w:r>
    </w:p>
    <w:p w14:paraId="1B7998CC" w14:textId="77777777" w:rsidR="00F472A5" w:rsidRPr="00BD7A07" w:rsidRDefault="00F472A5"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promote and support institutional cooperation and collaboration;</w:t>
      </w:r>
    </w:p>
    <w:p w14:paraId="1C57CC5B" w14:textId="0A6594F5" w:rsidR="008D282A" w:rsidRPr="00BD7A07" w:rsidRDefault="008D282A"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To summarize the current work in this arena in the context of which group is doing what, identified strengths and any gap areas, and suggest recommendations to the ACAPT Board as related to ACAPT’s future strategic priorities.</w:t>
      </w:r>
    </w:p>
    <w:p w14:paraId="43F268C5" w14:textId="053DFF00" w:rsidR="00277E3D" w:rsidRPr="00BD7A07" w:rsidRDefault="00684731" w:rsidP="00BD7A07">
      <w:pPr>
        <w:pStyle w:val="ListParagraph"/>
        <w:numPr>
          <w:ilvl w:val="0"/>
          <w:numId w:val="14"/>
        </w:numPr>
        <w:rPr>
          <w:rFonts w:ascii="Times New Roman" w:hAnsi="Times New Roman" w:cs="Times New Roman"/>
          <w:sz w:val="22"/>
          <w:szCs w:val="22"/>
        </w:rPr>
      </w:pPr>
      <w:r w:rsidRPr="00BD7A07">
        <w:rPr>
          <w:rFonts w:ascii="Times New Roman" w:hAnsi="Times New Roman" w:cs="Times New Roman"/>
          <w:sz w:val="22"/>
          <w:szCs w:val="22"/>
        </w:rPr>
        <w:t xml:space="preserve">To </w:t>
      </w:r>
      <w:r w:rsidR="00F820ED" w:rsidRPr="00BD7A07">
        <w:rPr>
          <w:rFonts w:ascii="Times New Roman" w:hAnsi="Times New Roman" w:cs="Times New Roman"/>
          <w:sz w:val="22"/>
          <w:szCs w:val="22"/>
        </w:rPr>
        <w:t>work</w:t>
      </w:r>
      <w:r w:rsidR="00367263" w:rsidRPr="00BD7A07">
        <w:rPr>
          <w:rFonts w:ascii="Times New Roman" w:hAnsi="Times New Roman" w:cs="Times New Roman"/>
          <w:sz w:val="22"/>
          <w:szCs w:val="22"/>
        </w:rPr>
        <w:t xml:space="preserve"> collaborati</w:t>
      </w:r>
      <w:r w:rsidR="00913571" w:rsidRPr="00BD7A07">
        <w:rPr>
          <w:rFonts w:ascii="Times New Roman" w:hAnsi="Times New Roman" w:cs="Times New Roman"/>
          <w:sz w:val="22"/>
          <w:szCs w:val="22"/>
        </w:rPr>
        <w:t>vely with all leaders within ACAPT,</w:t>
      </w:r>
      <w:r w:rsidR="005E6EFE" w:rsidRPr="00BD7A07">
        <w:rPr>
          <w:rFonts w:ascii="Times New Roman" w:hAnsi="Times New Roman" w:cs="Times New Roman"/>
          <w:sz w:val="22"/>
          <w:szCs w:val="22"/>
        </w:rPr>
        <w:t xml:space="preserve"> APTA and</w:t>
      </w:r>
      <w:r w:rsidR="00913571" w:rsidRPr="00BD7A07">
        <w:rPr>
          <w:rFonts w:ascii="Times New Roman" w:hAnsi="Times New Roman" w:cs="Times New Roman"/>
          <w:sz w:val="22"/>
          <w:szCs w:val="22"/>
        </w:rPr>
        <w:t xml:space="preserve"> the</w:t>
      </w:r>
      <w:r w:rsidR="005E6EFE" w:rsidRPr="00BD7A07">
        <w:rPr>
          <w:rFonts w:ascii="Times New Roman" w:hAnsi="Times New Roman" w:cs="Times New Roman"/>
          <w:sz w:val="22"/>
          <w:szCs w:val="22"/>
        </w:rPr>
        <w:t xml:space="preserve"> Academy of Physical Therapy</w:t>
      </w:r>
      <w:r w:rsidR="00913571" w:rsidRPr="00BD7A07">
        <w:rPr>
          <w:rFonts w:ascii="Times New Roman" w:hAnsi="Times New Roman" w:cs="Times New Roman"/>
          <w:sz w:val="22"/>
          <w:szCs w:val="22"/>
        </w:rPr>
        <w:t xml:space="preserve"> Education, </w:t>
      </w:r>
      <w:r w:rsidR="00367263" w:rsidRPr="00BD7A07">
        <w:rPr>
          <w:rFonts w:ascii="Times New Roman" w:hAnsi="Times New Roman" w:cs="Times New Roman"/>
          <w:sz w:val="22"/>
          <w:szCs w:val="22"/>
        </w:rPr>
        <w:t xml:space="preserve">and </w:t>
      </w:r>
      <w:r w:rsidR="00913571" w:rsidRPr="00BD7A07">
        <w:rPr>
          <w:rFonts w:ascii="Times New Roman" w:hAnsi="Times New Roman" w:cs="Times New Roman"/>
          <w:sz w:val="22"/>
          <w:szCs w:val="22"/>
        </w:rPr>
        <w:t xml:space="preserve">other </w:t>
      </w:r>
      <w:r w:rsidR="00A77AAB" w:rsidRPr="00BD7A07">
        <w:rPr>
          <w:rFonts w:ascii="Times New Roman" w:hAnsi="Times New Roman" w:cs="Times New Roman"/>
          <w:sz w:val="22"/>
          <w:szCs w:val="22"/>
        </w:rPr>
        <w:t>outside stakeholder groups; and</w:t>
      </w:r>
    </w:p>
    <w:p w14:paraId="50B02D9A" w14:textId="118E52F3" w:rsidR="00440D14" w:rsidRPr="00BD7A07" w:rsidRDefault="00A77AAB" w:rsidP="00BD7A07">
      <w:pPr>
        <w:pStyle w:val="ListParagraph"/>
        <w:numPr>
          <w:ilvl w:val="0"/>
          <w:numId w:val="14"/>
        </w:numPr>
        <w:spacing w:after="160"/>
        <w:rPr>
          <w:rFonts w:ascii="Times New Roman" w:hAnsi="Times New Roman" w:cs="Times New Roman"/>
          <w:sz w:val="22"/>
          <w:szCs w:val="22"/>
        </w:rPr>
      </w:pPr>
      <w:r w:rsidRPr="00BD7A07">
        <w:rPr>
          <w:rFonts w:ascii="Times New Roman" w:hAnsi="Times New Roman" w:cs="Times New Roman"/>
          <w:sz w:val="22"/>
          <w:szCs w:val="22"/>
        </w:rPr>
        <w:t xml:space="preserve">That the Model of Excellence for Physical Therapist Education (Jensen et al, 2018) </w:t>
      </w:r>
      <w:r w:rsidR="00725121" w:rsidRPr="00BD7A07">
        <w:rPr>
          <w:rFonts w:ascii="Times New Roman" w:hAnsi="Times New Roman" w:cs="Times New Roman"/>
          <w:sz w:val="22"/>
          <w:szCs w:val="22"/>
        </w:rPr>
        <w:t xml:space="preserve">and the dimensions, elements, and transformational areas for promoting excellence in physical therapist education framework (Jensen et al, 2017, p. 883) </w:t>
      </w:r>
      <w:r w:rsidRPr="00BD7A07">
        <w:rPr>
          <w:rFonts w:ascii="Times New Roman" w:hAnsi="Times New Roman" w:cs="Times New Roman"/>
          <w:sz w:val="22"/>
          <w:szCs w:val="22"/>
        </w:rPr>
        <w:t xml:space="preserve">adopted by the Education Leadership Partnership will be referenced to guide the committee’s work; </w:t>
      </w:r>
    </w:p>
    <w:p w14:paraId="23F9C04A" w14:textId="77777777" w:rsidR="00844CD2" w:rsidRPr="00BD7A07" w:rsidRDefault="00844CD2" w:rsidP="00BD7A07">
      <w:pPr>
        <w:rPr>
          <w:rFonts w:ascii="Times New Roman" w:hAnsi="Times New Roman" w:cs="Times New Roman"/>
          <w:b/>
          <w:snapToGrid w:val="0"/>
          <w:color w:val="000000"/>
          <w:sz w:val="22"/>
          <w:szCs w:val="22"/>
        </w:rPr>
      </w:pPr>
    </w:p>
    <w:p w14:paraId="01933749" w14:textId="50B92E0C" w:rsidR="00277E3D" w:rsidRPr="00BD7A07" w:rsidRDefault="00725121" w:rsidP="00BD7A07">
      <w:pPr>
        <w:rPr>
          <w:rFonts w:ascii="Times New Roman" w:hAnsi="Times New Roman" w:cs="Times New Roman"/>
          <w:sz w:val="22"/>
          <w:szCs w:val="22"/>
        </w:rPr>
      </w:pPr>
      <w:r w:rsidRPr="00BD7A07">
        <w:rPr>
          <w:rFonts w:ascii="Times New Roman" w:hAnsi="Times New Roman" w:cs="Times New Roman"/>
          <w:b/>
          <w:sz w:val="22"/>
          <w:szCs w:val="22"/>
        </w:rPr>
        <w:t>General</w:t>
      </w:r>
      <w:r w:rsidR="00277E3D" w:rsidRPr="00BD7A07">
        <w:rPr>
          <w:rFonts w:ascii="Times New Roman" w:hAnsi="Times New Roman" w:cs="Times New Roman"/>
          <w:b/>
          <w:sz w:val="22"/>
          <w:szCs w:val="22"/>
        </w:rPr>
        <w:t xml:space="preserve"> Responsibilities</w:t>
      </w:r>
      <w:r w:rsidR="00277E3D" w:rsidRPr="00BD7A07">
        <w:rPr>
          <w:rFonts w:ascii="Times New Roman" w:hAnsi="Times New Roman" w:cs="Times New Roman"/>
          <w:sz w:val="22"/>
          <w:szCs w:val="22"/>
        </w:rPr>
        <w:t xml:space="preserve">: </w:t>
      </w:r>
      <w:r w:rsidR="0066748D" w:rsidRPr="00BD7A07">
        <w:rPr>
          <w:rFonts w:ascii="Times New Roman" w:hAnsi="Times New Roman" w:cs="Times New Roman"/>
          <w:sz w:val="22"/>
          <w:szCs w:val="22"/>
        </w:rPr>
        <w:t>The Education Research Committee will</w:t>
      </w:r>
    </w:p>
    <w:p w14:paraId="07BC8AEB" w14:textId="77777777" w:rsidR="00277E3D" w:rsidRPr="00BD7A07" w:rsidRDefault="00277E3D" w:rsidP="00BD7A07">
      <w:pPr>
        <w:tabs>
          <w:tab w:val="left" w:pos="360"/>
          <w:tab w:val="left" w:pos="720"/>
          <w:tab w:val="left" w:pos="1080"/>
          <w:tab w:val="left" w:pos="1440"/>
          <w:tab w:val="left" w:pos="1800"/>
        </w:tabs>
        <w:rPr>
          <w:rFonts w:ascii="Times New Roman" w:hAnsi="Times New Roman" w:cs="Times New Roman"/>
          <w:snapToGrid w:val="0"/>
          <w:color w:val="000000"/>
          <w:sz w:val="22"/>
          <w:szCs w:val="22"/>
        </w:rPr>
      </w:pPr>
    </w:p>
    <w:p w14:paraId="672A10F8" w14:textId="6B286F74" w:rsidR="00AD698E" w:rsidRPr="00BD7A07" w:rsidRDefault="00AD698E" w:rsidP="00BD7A07">
      <w:pPr>
        <w:pStyle w:val="ListParagraph"/>
        <w:numPr>
          <w:ilvl w:val="0"/>
          <w:numId w:val="5"/>
        </w:numPr>
        <w:tabs>
          <w:tab w:val="left" w:pos="360"/>
          <w:tab w:val="left" w:pos="720"/>
          <w:tab w:val="left" w:pos="1080"/>
          <w:tab w:val="left" w:pos="1440"/>
          <w:tab w:val="left" w:pos="1800"/>
        </w:tabs>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 xml:space="preserve">Advise the </w:t>
      </w:r>
      <w:r w:rsidR="00AE6737" w:rsidRPr="00BD7A07">
        <w:rPr>
          <w:rFonts w:ascii="Times New Roman" w:hAnsi="Times New Roman" w:cs="Times New Roman"/>
          <w:sz w:val="22"/>
          <w:szCs w:val="22"/>
        </w:rPr>
        <w:t>Board of Directors</w:t>
      </w:r>
      <w:r w:rsidR="00AE6737" w:rsidRPr="00BD7A07">
        <w:rPr>
          <w:rFonts w:ascii="Times New Roman" w:hAnsi="Times New Roman" w:cs="Times New Roman"/>
          <w:snapToGrid w:val="0"/>
          <w:color w:val="000000"/>
          <w:sz w:val="22"/>
          <w:szCs w:val="22"/>
        </w:rPr>
        <w:t xml:space="preserve"> </w:t>
      </w:r>
      <w:r w:rsidR="00913571" w:rsidRPr="00BD7A07">
        <w:rPr>
          <w:rFonts w:ascii="Times New Roman" w:hAnsi="Times New Roman" w:cs="Times New Roman"/>
          <w:snapToGrid w:val="0"/>
          <w:color w:val="000000"/>
          <w:sz w:val="22"/>
          <w:szCs w:val="22"/>
        </w:rPr>
        <w:t xml:space="preserve">on matters pertaining to ACAPT’s and its members’ </w:t>
      </w:r>
      <w:r w:rsidR="00440D14" w:rsidRPr="00BD7A07">
        <w:rPr>
          <w:rFonts w:ascii="Times New Roman" w:hAnsi="Times New Roman" w:cs="Times New Roman"/>
          <w:snapToGrid w:val="0"/>
          <w:color w:val="000000"/>
          <w:sz w:val="22"/>
          <w:szCs w:val="22"/>
        </w:rPr>
        <w:t>education research</w:t>
      </w:r>
      <w:r w:rsidR="00AE6737" w:rsidRPr="00BD7A07">
        <w:rPr>
          <w:rFonts w:ascii="Times New Roman" w:hAnsi="Times New Roman" w:cs="Times New Roman"/>
          <w:snapToGrid w:val="0"/>
          <w:color w:val="000000"/>
          <w:sz w:val="22"/>
          <w:szCs w:val="22"/>
        </w:rPr>
        <w:t xml:space="preserve"> </w:t>
      </w:r>
      <w:r w:rsidRPr="00BD7A07">
        <w:rPr>
          <w:rFonts w:ascii="Times New Roman" w:hAnsi="Times New Roman" w:cs="Times New Roman"/>
          <w:snapToGrid w:val="0"/>
          <w:color w:val="000000"/>
          <w:sz w:val="22"/>
          <w:szCs w:val="22"/>
        </w:rPr>
        <w:t xml:space="preserve">needs and </w:t>
      </w:r>
      <w:r w:rsidR="00440D14" w:rsidRPr="00BD7A07">
        <w:rPr>
          <w:rFonts w:ascii="Times New Roman" w:hAnsi="Times New Roman" w:cs="Times New Roman"/>
          <w:snapToGrid w:val="0"/>
          <w:color w:val="000000"/>
          <w:sz w:val="22"/>
          <w:szCs w:val="22"/>
        </w:rPr>
        <w:t>opportunities</w:t>
      </w:r>
      <w:r w:rsidRPr="00BD7A07">
        <w:rPr>
          <w:rFonts w:ascii="Times New Roman" w:hAnsi="Times New Roman" w:cs="Times New Roman"/>
          <w:snapToGrid w:val="0"/>
          <w:color w:val="000000"/>
          <w:sz w:val="22"/>
          <w:szCs w:val="22"/>
        </w:rPr>
        <w:t>.</w:t>
      </w:r>
    </w:p>
    <w:p w14:paraId="53D9D6E4" w14:textId="0948A0F7" w:rsidR="00AD698E" w:rsidRPr="00BD7A07" w:rsidRDefault="00AD698E" w:rsidP="00BD7A07">
      <w:pPr>
        <w:pStyle w:val="ListParagraph"/>
        <w:numPr>
          <w:ilvl w:val="0"/>
          <w:numId w:val="5"/>
        </w:numPr>
        <w:tabs>
          <w:tab w:val="left" w:pos="360"/>
          <w:tab w:val="left" w:pos="720"/>
          <w:tab w:val="left" w:pos="1080"/>
          <w:tab w:val="left" w:pos="1440"/>
          <w:tab w:val="left" w:pos="1800"/>
        </w:tabs>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 xml:space="preserve">Work closely with </w:t>
      </w:r>
      <w:r w:rsidR="00913571" w:rsidRPr="00BD7A07">
        <w:rPr>
          <w:rFonts w:ascii="Times New Roman" w:hAnsi="Times New Roman" w:cs="Times New Roman"/>
          <w:snapToGrid w:val="0"/>
          <w:color w:val="000000"/>
          <w:sz w:val="22"/>
          <w:szCs w:val="22"/>
        </w:rPr>
        <w:t>the Board Liaison and</w:t>
      </w:r>
      <w:r w:rsidRPr="00BD7A07">
        <w:rPr>
          <w:rFonts w:ascii="Times New Roman" w:hAnsi="Times New Roman" w:cs="Times New Roman"/>
          <w:snapToGrid w:val="0"/>
          <w:color w:val="000000"/>
          <w:sz w:val="22"/>
          <w:szCs w:val="22"/>
        </w:rPr>
        <w:t xml:space="preserve"> Executive Director </w:t>
      </w:r>
      <w:r w:rsidR="00ED2160" w:rsidRPr="00BD7A07">
        <w:rPr>
          <w:rFonts w:ascii="Times New Roman" w:hAnsi="Times New Roman" w:cs="Times New Roman"/>
          <w:snapToGrid w:val="0"/>
          <w:color w:val="000000"/>
          <w:sz w:val="22"/>
          <w:szCs w:val="22"/>
        </w:rPr>
        <w:t>to develop plans</w:t>
      </w:r>
      <w:r w:rsidR="00725121" w:rsidRPr="00BD7A07">
        <w:rPr>
          <w:rFonts w:ascii="Times New Roman" w:hAnsi="Times New Roman" w:cs="Times New Roman"/>
          <w:snapToGrid w:val="0"/>
          <w:color w:val="000000"/>
          <w:sz w:val="22"/>
          <w:szCs w:val="22"/>
        </w:rPr>
        <w:t xml:space="preserve">, identify resources </w:t>
      </w:r>
      <w:r w:rsidR="00ED2160" w:rsidRPr="00BD7A07">
        <w:rPr>
          <w:rFonts w:ascii="Times New Roman" w:hAnsi="Times New Roman" w:cs="Times New Roman"/>
          <w:snapToGrid w:val="0"/>
          <w:color w:val="000000"/>
          <w:sz w:val="22"/>
          <w:szCs w:val="22"/>
        </w:rPr>
        <w:t>and timelines</w:t>
      </w:r>
      <w:r w:rsidRPr="00BD7A07">
        <w:rPr>
          <w:rFonts w:ascii="Times New Roman" w:hAnsi="Times New Roman" w:cs="Times New Roman"/>
          <w:snapToGrid w:val="0"/>
          <w:color w:val="000000"/>
          <w:sz w:val="22"/>
          <w:szCs w:val="22"/>
        </w:rPr>
        <w:t>.</w:t>
      </w:r>
    </w:p>
    <w:p w14:paraId="6715D46C" w14:textId="4253E5E4" w:rsidR="00ED2160" w:rsidRPr="00BD7A07" w:rsidRDefault="00ED2160" w:rsidP="00BD7A07">
      <w:pPr>
        <w:pStyle w:val="ListParagraph"/>
        <w:numPr>
          <w:ilvl w:val="0"/>
          <w:numId w:val="5"/>
        </w:numPr>
        <w:tabs>
          <w:tab w:val="left" w:pos="360"/>
          <w:tab w:val="left" w:pos="720"/>
          <w:tab w:val="left" w:pos="1080"/>
          <w:tab w:val="left" w:pos="1440"/>
          <w:tab w:val="left" w:pos="1800"/>
        </w:tabs>
        <w:autoSpaceDE w:val="0"/>
        <w:autoSpaceDN w:val="0"/>
        <w:adjustRightInd w:val="0"/>
        <w:rPr>
          <w:rFonts w:ascii="Times New Roman" w:hAnsi="Times New Roman" w:cs="Times New Roman"/>
          <w:sz w:val="22"/>
          <w:szCs w:val="22"/>
        </w:rPr>
      </w:pPr>
      <w:r w:rsidRPr="00BD7A07">
        <w:rPr>
          <w:rFonts w:ascii="Times New Roman" w:hAnsi="Times New Roman" w:cs="Times New Roman"/>
          <w:sz w:val="22"/>
          <w:szCs w:val="22"/>
        </w:rPr>
        <w:t xml:space="preserve">Interact with </w:t>
      </w:r>
      <w:r w:rsidR="00913571" w:rsidRPr="00BD7A07">
        <w:rPr>
          <w:rFonts w:ascii="Times New Roman" w:hAnsi="Times New Roman" w:cs="Times New Roman"/>
          <w:sz w:val="22"/>
          <w:szCs w:val="22"/>
        </w:rPr>
        <w:t xml:space="preserve">Consortia </w:t>
      </w:r>
      <w:r w:rsidRPr="00BD7A07">
        <w:rPr>
          <w:rFonts w:ascii="Times New Roman" w:hAnsi="Times New Roman" w:cs="Times New Roman"/>
          <w:sz w:val="22"/>
          <w:szCs w:val="22"/>
        </w:rPr>
        <w:t xml:space="preserve">chairs and other </w:t>
      </w:r>
      <w:r w:rsidR="00913571" w:rsidRPr="00BD7A07">
        <w:rPr>
          <w:rFonts w:ascii="Times New Roman" w:hAnsi="Times New Roman" w:cs="Times New Roman"/>
          <w:sz w:val="22"/>
          <w:szCs w:val="22"/>
        </w:rPr>
        <w:t>stakeholder groups</w:t>
      </w:r>
      <w:r w:rsidRPr="00BD7A07">
        <w:rPr>
          <w:rFonts w:ascii="Times New Roman" w:hAnsi="Times New Roman" w:cs="Times New Roman"/>
          <w:sz w:val="22"/>
          <w:szCs w:val="22"/>
        </w:rPr>
        <w:t xml:space="preserve"> to facilitate and coordinate </w:t>
      </w:r>
      <w:r w:rsidR="00440D14" w:rsidRPr="00BD7A07">
        <w:rPr>
          <w:rFonts w:ascii="Times New Roman" w:hAnsi="Times New Roman" w:cs="Times New Roman"/>
          <w:sz w:val="22"/>
          <w:szCs w:val="22"/>
        </w:rPr>
        <w:t>implementation of ideas and solutions</w:t>
      </w:r>
      <w:r w:rsidRPr="00BD7A07">
        <w:rPr>
          <w:rFonts w:ascii="Times New Roman" w:hAnsi="Times New Roman" w:cs="Times New Roman"/>
          <w:sz w:val="22"/>
          <w:szCs w:val="22"/>
        </w:rPr>
        <w:t>.</w:t>
      </w:r>
    </w:p>
    <w:p w14:paraId="4B832D24" w14:textId="56FEB90E" w:rsidR="00AD698E" w:rsidRPr="00BD7A07" w:rsidRDefault="00AD698E" w:rsidP="00BD7A07">
      <w:pPr>
        <w:pStyle w:val="ListParagraph"/>
        <w:numPr>
          <w:ilvl w:val="0"/>
          <w:numId w:val="5"/>
        </w:numPr>
        <w:tabs>
          <w:tab w:val="left" w:pos="360"/>
          <w:tab w:val="left" w:pos="720"/>
          <w:tab w:val="left" w:pos="1440"/>
          <w:tab w:val="left" w:pos="1800"/>
        </w:tabs>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 xml:space="preserve">Develop and propose a </w:t>
      </w:r>
      <w:r w:rsidR="00913571" w:rsidRPr="00BD7A07">
        <w:rPr>
          <w:rFonts w:ascii="Times New Roman" w:hAnsi="Times New Roman" w:cs="Times New Roman"/>
          <w:snapToGrid w:val="0"/>
          <w:color w:val="000000"/>
          <w:sz w:val="22"/>
          <w:szCs w:val="22"/>
        </w:rPr>
        <w:t xml:space="preserve">budget by date requested by ACAPT’s </w:t>
      </w:r>
      <w:r w:rsidRPr="00BD7A07">
        <w:rPr>
          <w:rFonts w:ascii="Times New Roman" w:hAnsi="Times New Roman" w:cs="Times New Roman"/>
          <w:snapToGrid w:val="0"/>
          <w:color w:val="000000"/>
          <w:sz w:val="22"/>
          <w:szCs w:val="22"/>
        </w:rPr>
        <w:t>Treasure</w:t>
      </w:r>
      <w:r w:rsidR="00ED2160" w:rsidRPr="00BD7A07">
        <w:rPr>
          <w:rFonts w:ascii="Times New Roman" w:hAnsi="Times New Roman" w:cs="Times New Roman"/>
          <w:snapToGrid w:val="0"/>
          <w:color w:val="000000"/>
          <w:sz w:val="22"/>
          <w:szCs w:val="22"/>
        </w:rPr>
        <w:t>r</w:t>
      </w:r>
      <w:r w:rsidRPr="00BD7A07">
        <w:rPr>
          <w:rFonts w:ascii="Times New Roman" w:hAnsi="Times New Roman" w:cs="Times New Roman"/>
          <w:snapToGrid w:val="0"/>
          <w:color w:val="000000"/>
          <w:sz w:val="22"/>
          <w:szCs w:val="22"/>
        </w:rPr>
        <w:t xml:space="preserve"> to accomplish goals and objectives.</w:t>
      </w:r>
    </w:p>
    <w:p w14:paraId="0267AC3A" w14:textId="050E3F62" w:rsidR="00AE6737" w:rsidRPr="00BD7A07" w:rsidRDefault="00AD698E" w:rsidP="00BD7A07">
      <w:pPr>
        <w:pStyle w:val="ListParagraph"/>
        <w:numPr>
          <w:ilvl w:val="0"/>
          <w:numId w:val="5"/>
        </w:numPr>
        <w:tabs>
          <w:tab w:val="left" w:pos="360"/>
          <w:tab w:val="left" w:pos="720"/>
          <w:tab w:val="left" w:pos="1080"/>
          <w:tab w:val="left" w:pos="1440"/>
          <w:tab w:val="left" w:pos="1800"/>
        </w:tabs>
        <w:autoSpaceDE w:val="0"/>
        <w:autoSpaceDN w:val="0"/>
        <w:adjustRightInd w:val="0"/>
        <w:rPr>
          <w:rFonts w:ascii="Times New Roman" w:hAnsi="Times New Roman" w:cs="Times New Roman"/>
          <w:sz w:val="22"/>
          <w:szCs w:val="22"/>
        </w:rPr>
      </w:pPr>
      <w:r w:rsidRPr="00BD7A07">
        <w:rPr>
          <w:rFonts w:ascii="Times New Roman" w:hAnsi="Times New Roman" w:cs="Times New Roman"/>
          <w:sz w:val="22"/>
          <w:szCs w:val="22"/>
        </w:rPr>
        <w:t xml:space="preserve">Make recommendations to the </w:t>
      </w:r>
      <w:r w:rsidR="00ED2160" w:rsidRPr="00BD7A07">
        <w:rPr>
          <w:rFonts w:ascii="Times New Roman" w:hAnsi="Times New Roman" w:cs="Times New Roman"/>
          <w:sz w:val="22"/>
          <w:szCs w:val="22"/>
        </w:rPr>
        <w:t xml:space="preserve">Board of Directors </w:t>
      </w:r>
      <w:r w:rsidRPr="00BD7A07">
        <w:rPr>
          <w:rFonts w:ascii="Times New Roman" w:hAnsi="Times New Roman" w:cs="Times New Roman"/>
          <w:sz w:val="22"/>
          <w:szCs w:val="22"/>
        </w:rPr>
        <w:t>for appointment of members as needed to assist in planning and on site management of the programs.</w:t>
      </w:r>
    </w:p>
    <w:p w14:paraId="5E46E0FE" w14:textId="0EA2384B" w:rsidR="00AE6737" w:rsidRPr="00BD7A07" w:rsidRDefault="00AD698E" w:rsidP="00BD7A07">
      <w:pPr>
        <w:pStyle w:val="ListParagraph"/>
        <w:numPr>
          <w:ilvl w:val="0"/>
          <w:numId w:val="5"/>
        </w:numPr>
        <w:tabs>
          <w:tab w:val="left" w:pos="360"/>
          <w:tab w:val="left" w:pos="720"/>
          <w:tab w:val="left" w:pos="1080"/>
          <w:tab w:val="left" w:pos="1440"/>
          <w:tab w:val="left" w:pos="1800"/>
        </w:tabs>
        <w:autoSpaceDE w:val="0"/>
        <w:autoSpaceDN w:val="0"/>
        <w:adjustRightInd w:val="0"/>
        <w:rPr>
          <w:rFonts w:ascii="Times New Roman" w:hAnsi="Times New Roman" w:cs="Times New Roman"/>
          <w:sz w:val="22"/>
          <w:szCs w:val="22"/>
        </w:rPr>
      </w:pPr>
      <w:r w:rsidRPr="00BD7A07">
        <w:rPr>
          <w:rFonts w:ascii="Times New Roman" w:hAnsi="Times New Roman" w:cs="Times New Roman"/>
          <w:sz w:val="22"/>
          <w:szCs w:val="22"/>
        </w:rPr>
        <w:t>Submit written reports regarding programming when requested.</w:t>
      </w:r>
    </w:p>
    <w:p w14:paraId="60326BC2" w14:textId="005656BD" w:rsidR="00AE6737" w:rsidRPr="00BD7A07" w:rsidRDefault="00913571" w:rsidP="00BD7A07">
      <w:pPr>
        <w:pStyle w:val="ListParagraph"/>
        <w:numPr>
          <w:ilvl w:val="0"/>
          <w:numId w:val="5"/>
        </w:numPr>
        <w:tabs>
          <w:tab w:val="left" w:pos="360"/>
          <w:tab w:val="left" w:pos="720"/>
          <w:tab w:val="left" w:pos="1080"/>
          <w:tab w:val="left" w:pos="1440"/>
          <w:tab w:val="left" w:pos="1800"/>
        </w:tabs>
        <w:autoSpaceDE w:val="0"/>
        <w:autoSpaceDN w:val="0"/>
        <w:adjustRightInd w:val="0"/>
        <w:rPr>
          <w:rFonts w:ascii="Times New Roman" w:hAnsi="Times New Roman" w:cs="Times New Roman"/>
          <w:sz w:val="22"/>
          <w:szCs w:val="22"/>
        </w:rPr>
      </w:pPr>
      <w:r w:rsidRPr="00BD7A07">
        <w:rPr>
          <w:rFonts w:ascii="Times New Roman" w:hAnsi="Times New Roman" w:cs="Times New Roman"/>
          <w:sz w:val="22"/>
          <w:szCs w:val="22"/>
        </w:rPr>
        <w:t>Coordinate</w:t>
      </w:r>
      <w:r w:rsidR="00AD698E" w:rsidRPr="00BD7A07">
        <w:rPr>
          <w:rFonts w:ascii="Times New Roman" w:hAnsi="Times New Roman" w:cs="Times New Roman"/>
          <w:sz w:val="22"/>
          <w:szCs w:val="22"/>
        </w:rPr>
        <w:t xml:space="preserve"> advertising and </w:t>
      </w:r>
      <w:r w:rsidRPr="00BD7A07">
        <w:rPr>
          <w:rFonts w:ascii="Times New Roman" w:hAnsi="Times New Roman" w:cs="Times New Roman"/>
          <w:sz w:val="22"/>
          <w:szCs w:val="22"/>
        </w:rPr>
        <w:t>marketing initiatives</w:t>
      </w:r>
      <w:r w:rsidR="00725121" w:rsidRPr="00BD7A07">
        <w:rPr>
          <w:rFonts w:ascii="Times New Roman" w:hAnsi="Times New Roman" w:cs="Times New Roman"/>
          <w:sz w:val="22"/>
          <w:szCs w:val="22"/>
        </w:rPr>
        <w:t xml:space="preserve"> to promote education research</w:t>
      </w:r>
    </w:p>
    <w:p w14:paraId="08FE0F50" w14:textId="77777777" w:rsidR="00725121" w:rsidRPr="00BD7A07" w:rsidRDefault="00725121" w:rsidP="00BD7A07">
      <w:pPr>
        <w:pStyle w:val="BodyText"/>
        <w:rPr>
          <w:rFonts w:ascii="Times New Roman" w:hAnsi="Times New Roman"/>
          <w:sz w:val="22"/>
          <w:szCs w:val="22"/>
        </w:rPr>
      </w:pPr>
    </w:p>
    <w:p w14:paraId="648B4252" w14:textId="77777777" w:rsidR="007806F0" w:rsidRPr="00BD7A07" w:rsidRDefault="007806F0" w:rsidP="00BD7A07">
      <w:pPr>
        <w:rPr>
          <w:rFonts w:ascii="Times New Roman" w:hAnsi="Times New Roman" w:cs="Times New Roman"/>
          <w:sz w:val="22"/>
          <w:szCs w:val="22"/>
        </w:rPr>
      </w:pPr>
      <w:r w:rsidRPr="00BD7A07">
        <w:rPr>
          <w:rFonts w:ascii="Times New Roman" w:hAnsi="Times New Roman" w:cs="Times New Roman"/>
          <w:b/>
          <w:sz w:val="22"/>
          <w:szCs w:val="22"/>
        </w:rPr>
        <w:t>Qualifications</w:t>
      </w:r>
      <w:r w:rsidRPr="00BD7A07">
        <w:rPr>
          <w:rFonts w:ascii="Times New Roman" w:hAnsi="Times New Roman" w:cs="Times New Roman"/>
          <w:sz w:val="22"/>
          <w:szCs w:val="22"/>
        </w:rPr>
        <w:t xml:space="preserve">:  </w:t>
      </w:r>
    </w:p>
    <w:p w14:paraId="4D7C318F" w14:textId="77777777" w:rsidR="007806F0" w:rsidRPr="00BD7A07" w:rsidRDefault="007806F0" w:rsidP="00BD7A07">
      <w:pPr>
        <w:rPr>
          <w:rFonts w:ascii="Times New Roman" w:hAnsi="Times New Roman" w:cs="Times New Roman"/>
          <w:sz w:val="22"/>
          <w:szCs w:val="22"/>
        </w:rPr>
      </w:pPr>
    </w:p>
    <w:p w14:paraId="308618C3" w14:textId="596C49CB" w:rsidR="007806F0" w:rsidRPr="00BD7A07" w:rsidRDefault="007806F0" w:rsidP="00BD7A07">
      <w:p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 xml:space="preserve">The committee chair must be an active or life member in good standing with a particular interest in </w:t>
      </w:r>
      <w:r w:rsidR="00BC58B8" w:rsidRPr="00BD7A07">
        <w:rPr>
          <w:rFonts w:ascii="Times New Roman" w:hAnsi="Times New Roman" w:cs="Times New Roman"/>
          <w:snapToGrid w:val="0"/>
          <w:color w:val="000000"/>
          <w:sz w:val="22"/>
          <w:szCs w:val="22"/>
        </w:rPr>
        <w:t xml:space="preserve">education research </w:t>
      </w:r>
      <w:r w:rsidRPr="00BD7A07">
        <w:rPr>
          <w:rFonts w:ascii="Times New Roman" w:hAnsi="Times New Roman" w:cs="Times New Roman"/>
          <w:snapToGrid w:val="0"/>
          <w:color w:val="000000"/>
          <w:sz w:val="22"/>
          <w:szCs w:val="22"/>
        </w:rPr>
        <w:t xml:space="preserve">and possess </w:t>
      </w:r>
      <w:r w:rsidR="00BC58B8" w:rsidRPr="00BD7A07">
        <w:rPr>
          <w:rFonts w:ascii="Times New Roman" w:hAnsi="Times New Roman" w:cs="Times New Roman"/>
          <w:snapToGrid w:val="0"/>
          <w:color w:val="000000"/>
          <w:sz w:val="22"/>
          <w:szCs w:val="22"/>
        </w:rPr>
        <w:t xml:space="preserve">strong </w:t>
      </w:r>
      <w:r w:rsidRPr="00BD7A07">
        <w:rPr>
          <w:rFonts w:ascii="Times New Roman" w:hAnsi="Times New Roman" w:cs="Times New Roman"/>
          <w:snapToGrid w:val="0"/>
          <w:color w:val="000000"/>
          <w:sz w:val="22"/>
          <w:szCs w:val="22"/>
        </w:rPr>
        <w:t xml:space="preserve">organization skills.  </w:t>
      </w:r>
      <w:r w:rsidR="00BC58B8" w:rsidRPr="00BD7A07">
        <w:rPr>
          <w:rFonts w:ascii="Times New Roman" w:hAnsi="Times New Roman" w:cs="Times New Roman"/>
          <w:snapToGrid w:val="0"/>
          <w:color w:val="000000"/>
          <w:sz w:val="22"/>
          <w:szCs w:val="22"/>
        </w:rPr>
        <w:t xml:space="preserve">All </w:t>
      </w:r>
      <w:r w:rsidRPr="00BD7A07">
        <w:rPr>
          <w:rFonts w:ascii="Times New Roman" w:hAnsi="Times New Roman" w:cs="Times New Roman"/>
          <w:snapToGrid w:val="0"/>
          <w:color w:val="000000"/>
          <w:sz w:val="22"/>
          <w:szCs w:val="22"/>
        </w:rPr>
        <w:t xml:space="preserve">members of the committee </w:t>
      </w:r>
      <w:r w:rsidR="00BC58B8" w:rsidRPr="00BD7A07">
        <w:rPr>
          <w:rFonts w:ascii="Times New Roman" w:hAnsi="Times New Roman" w:cs="Times New Roman"/>
          <w:snapToGrid w:val="0"/>
          <w:color w:val="000000"/>
          <w:sz w:val="22"/>
          <w:szCs w:val="22"/>
        </w:rPr>
        <w:t>shall</w:t>
      </w:r>
      <w:r w:rsidRPr="00BD7A07">
        <w:rPr>
          <w:rFonts w:ascii="Times New Roman" w:hAnsi="Times New Roman" w:cs="Times New Roman"/>
          <w:snapToGrid w:val="0"/>
          <w:color w:val="000000"/>
          <w:sz w:val="22"/>
          <w:szCs w:val="22"/>
        </w:rPr>
        <w:t xml:space="preserve"> be active members of ACAPT.</w:t>
      </w:r>
    </w:p>
    <w:p w14:paraId="2370B434" w14:textId="77777777" w:rsidR="007806F0" w:rsidRPr="00BD7A07" w:rsidRDefault="007806F0" w:rsidP="00BD7A07">
      <w:pPr>
        <w:rPr>
          <w:rFonts w:ascii="Times New Roman" w:hAnsi="Times New Roman" w:cs="Times New Roman"/>
          <w:snapToGrid w:val="0"/>
          <w:color w:val="000000"/>
          <w:sz w:val="22"/>
          <w:szCs w:val="22"/>
        </w:rPr>
      </w:pPr>
    </w:p>
    <w:p w14:paraId="35BDEDAE" w14:textId="77777777" w:rsidR="007806F0" w:rsidRPr="00BD7A07" w:rsidRDefault="007806F0" w:rsidP="00BD7A07">
      <w:pPr>
        <w:rPr>
          <w:rFonts w:ascii="Times New Roman" w:hAnsi="Times New Roman" w:cs="Times New Roman"/>
          <w:snapToGrid w:val="0"/>
          <w:color w:val="000000"/>
          <w:sz w:val="22"/>
          <w:szCs w:val="22"/>
        </w:rPr>
      </w:pPr>
      <w:r w:rsidRPr="00BD7A07">
        <w:rPr>
          <w:rFonts w:ascii="Times New Roman" w:hAnsi="Times New Roman" w:cs="Times New Roman"/>
          <w:b/>
          <w:snapToGrid w:val="0"/>
          <w:color w:val="000000"/>
          <w:sz w:val="22"/>
          <w:szCs w:val="22"/>
        </w:rPr>
        <w:t>Evaluation</w:t>
      </w:r>
      <w:r w:rsidRPr="00BD7A07">
        <w:rPr>
          <w:rFonts w:ascii="Times New Roman" w:hAnsi="Times New Roman" w:cs="Times New Roman"/>
          <w:snapToGrid w:val="0"/>
          <w:color w:val="000000"/>
          <w:sz w:val="22"/>
          <w:szCs w:val="22"/>
        </w:rPr>
        <w:t xml:space="preserve">:  </w:t>
      </w:r>
    </w:p>
    <w:p w14:paraId="52540E4B" w14:textId="77777777" w:rsidR="007806F0" w:rsidRPr="00BD7A07" w:rsidRDefault="007806F0" w:rsidP="00BD7A07">
      <w:pPr>
        <w:rPr>
          <w:rFonts w:ascii="Times New Roman" w:hAnsi="Times New Roman" w:cs="Times New Roman"/>
          <w:snapToGrid w:val="0"/>
          <w:color w:val="000000"/>
          <w:sz w:val="22"/>
          <w:szCs w:val="22"/>
        </w:rPr>
      </w:pPr>
    </w:p>
    <w:p w14:paraId="7DB5242A" w14:textId="420501D7" w:rsidR="007806F0" w:rsidRPr="00BD7A07" w:rsidRDefault="007806F0" w:rsidP="00BD7A07">
      <w:pPr>
        <w:rPr>
          <w:rFonts w:ascii="Times New Roman" w:hAnsi="Times New Roman" w:cs="Times New Roman"/>
          <w:snapToGrid w:val="0"/>
          <w:color w:val="000000"/>
          <w:sz w:val="22"/>
          <w:szCs w:val="22"/>
        </w:rPr>
      </w:pPr>
      <w:r w:rsidRPr="00BD7A07">
        <w:rPr>
          <w:rFonts w:ascii="Times New Roman" w:hAnsi="Times New Roman" w:cs="Times New Roman"/>
          <w:snapToGrid w:val="0"/>
          <w:color w:val="000000"/>
          <w:sz w:val="22"/>
          <w:szCs w:val="22"/>
        </w:rPr>
        <w:t xml:space="preserve">The </w:t>
      </w:r>
      <w:r w:rsidRPr="00BD7A07">
        <w:rPr>
          <w:rFonts w:ascii="Times New Roman" w:hAnsi="Times New Roman" w:cs="Times New Roman"/>
          <w:sz w:val="22"/>
          <w:szCs w:val="22"/>
        </w:rPr>
        <w:t>Board of Directors</w:t>
      </w:r>
      <w:r w:rsidRPr="00BD7A07" w:rsidDel="002A553E">
        <w:rPr>
          <w:rFonts w:ascii="Times New Roman" w:hAnsi="Times New Roman" w:cs="Times New Roman"/>
          <w:snapToGrid w:val="0"/>
          <w:color w:val="000000"/>
          <w:sz w:val="22"/>
          <w:szCs w:val="22"/>
        </w:rPr>
        <w:t xml:space="preserve"> </w:t>
      </w:r>
      <w:r w:rsidRPr="00BD7A07">
        <w:rPr>
          <w:rFonts w:ascii="Times New Roman" w:hAnsi="Times New Roman" w:cs="Times New Roman"/>
          <w:snapToGrid w:val="0"/>
          <w:color w:val="000000"/>
          <w:sz w:val="22"/>
          <w:szCs w:val="22"/>
        </w:rPr>
        <w:t xml:space="preserve">will have an opportunity to evaluate the committee yearly.  The goal of the evaluation process is to </w:t>
      </w:r>
      <w:r w:rsidR="00844CD2" w:rsidRPr="00BD7A07">
        <w:rPr>
          <w:rFonts w:ascii="Times New Roman" w:hAnsi="Times New Roman" w:cs="Times New Roman"/>
          <w:snapToGrid w:val="0"/>
          <w:color w:val="000000"/>
          <w:sz w:val="22"/>
          <w:szCs w:val="22"/>
        </w:rPr>
        <w:t xml:space="preserve">assure </w:t>
      </w:r>
      <w:r w:rsidRPr="00BD7A07">
        <w:rPr>
          <w:rFonts w:ascii="Times New Roman" w:hAnsi="Times New Roman" w:cs="Times New Roman"/>
          <w:snapToGrid w:val="0"/>
          <w:color w:val="000000"/>
          <w:sz w:val="22"/>
          <w:szCs w:val="22"/>
        </w:rPr>
        <w:t>function</w:t>
      </w:r>
      <w:r w:rsidR="00844CD2" w:rsidRPr="00BD7A07">
        <w:rPr>
          <w:rFonts w:ascii="Times New Roman" w:hAnsi="Times New Roman" w:cs="Times New Roman"/>
          <w:snapToGrid w:val="0"/>
          <w:color w:val="000000"/>
          <w:sz w:val="22"/>
          <w:szCs w:val="22"/>
        </w:rPr>
        <w:t>ality</w:t>
      </w:r>
      <w:r w:rsidRPr="00BD7A07">
        <w:rPr>
          <w:rFonts w:ascii="Times New Roman" w:hAnsi="Times New Roman" w:cs="Times New Roman"/>
          <w:snapToGrid w:val="0"/>
          <w:color w:val="000000"/>
          <w:sz w:val="22"/>
          <w:szCs w:val="22"/>
        </w:rPr>
        <w:t xml:space="preserve"> of the </w:t>
      </w:r>
      <w:r w:rsidR="00844CD2" w:rsidRPr="00BD7A07">
        <w:rPr>
          <w:rFonts w:ascii="Times New Roman" w:hAnsi="Times New Roman" w:cs="Times New Roman"/>
          <w:snapToGrid w:val="0"/>
          <w:color w:val="000000"/>
          <w:sz w:val="22"/>
          <w:szCs w:val="22"/>
        </w:rPr>
        <w:t>committee and that the goals and objectives are always relevant to ACAPT’s strategic initiatives.</w:t>
      </w:r>
    </w:p>
    <w:p w14:paraId="6E984F09" w14:textId="77777777" w:rsidR="00BD7A07" w:rsidRPr="00BD7A07" w:rsidRDefault="00BD7A07" w:rsidP="00BD7A07">
      <w:pPr>
        <w:rPr>
          <w:rFonts w:ascii="Times New Roman" w:hAnsi="Times New Roman" w:cs="Times New Roman"/>
          <w:snapToGrid w:val="0"/>
          <w:color w:val="000000"/>
          <w:sz w:val="22"/>
          <w:szCs w:val="22"/>
        </w:rPr>
      </w:pPr>
    </w:p>
    <w:p w14:paraId="3ABC1EB3" w14:textId="77777777" w:rsidR="00BD7A07" w:rsidRPr="00BD7A07" w:rsidRDefault="00BD7A07" w:rsidP="00BD7A07">
      <w:pPr>
        <w:rPr>
          <w:rFonts w:ascii="Times New Roman" w:eastAsia="Times New Roman" w:hAnsi="Times New Roman" w:cs="Times New Roman"/>
          <w:sz w:val="22"/>
          <w:szCs w:val="22"/>
        </w:rPr>
      </w:pPr>
      <w:r w:rsidRPr="00CF1839">
        <w:rPr>
          <w:rFonts w:ascii="Times New Roman" w:eastAsia="Times New Roman" w:hAnsi="Times New Roman" w:cs="Times New Roman"/>
          <w:b/>
          <w:bCs/>
          <w:sz w:val="22"/>
          <w:szCs w:val="22"/>
        </w:rPr>
        <w:t>Copyright Assignment</w:t>
      </w:r>
      <w:r w:rsidRPr="00CF1839">
        <w:rPr>
          <w:rFonts w:ascii="Times New Roman" w:eastAsia="Times New Roman" w:hAnsi="Times New Roman" w:cs="Times New Roman"/>
          <w:sz w:val="22"/>
          <w:szCs w:val="22"/>
        </w:rPr>
        <w:t xml:space="preserve">: </w:t>
      </w:r>
    </w:p>
    <w:p w14:paraId="3CDC8D20" w14:textId="77777777" w:rsidR="00BD7A07" w:rsidRPr="00BD7A07" w:rsidRDefault="00BD7A07" w:rsidP="00BD7A07">
      <w:pPr>
        <w:rPr>
          <w:rFonts w:ascii="Times New Roman" w:eastAsia="Times New Roman" w:hAnsi="Times New Roman" w:cs="Times New Roman"/>
          <w:sz w:val="22"/>
          <w:szCs w:val="22"/>
        </w:rPr>
      </w:pPr>
    </w:p>
    <w:p w14:paraId="48633BEA" w14:textId="2644593C" w:rsidR="00BD7A07" w:rsidRPr="00CF1839" w:rsidRDefault="00BD7A07" w:rsidP="00BD7A07">
      <w:pPr>
        <w:rPr>
          <w:rFonts w:ascii="Times New Roman" w:eastAsia="Times New Roman" w:hAnsi="Times New Roman" w:cs="Times New Roman"/>
          <w:sz w:val="22"/>
          <w:szCs w:val="22"/>
        </w:rPr>
      </w:pPr>
      <w:r w:rsidRPr="00CF1839">
        <w:rPr>
          <w:rFonts w:ascii="Times New Roman" w:eastAsia="Times New Roman" w:hAnsi="Times New Roman" w:cs="Times New Roman"/>
          <w:sz w:val="22"/>
          <w:szCs w:val="22"/>
        </w:rPr>
        <w:t xml:space="preserve">Members of the </w:t>
      </w:r>
      <w:r w:rsidRPr="00BD7A07">
        <w:rPr>
          <w:rFonts w:ascii="Times New Roman" w:eastAsia="Times New Roman" w:hAnsi="Times New Roman" w:cs="Times New Roman"/>
          <w:sz w:val="22"/>
          <w:szCs w:val="22"/>
        </w:rPr>
        <w:t>Committee</w:t>
      </w:r>
      <w:r w:rsidRPr="00CF1839">
        <w:rPr>
          <w:rFonts w:ascii="Times New Roman" w:eastAsia="Times New Roman" w:hAnsi="Times New Roman" w:cs="Times New Roman"/>
          <w:sz w:val="22"/>
          <w:szCs w:val="22"/>
        </w:rPr>
        <w:t xml:space="preserve"> will be </w:t>
      </w:r>
      <w:r>
        <w:rPr>
          <w:rFonts w:ascii="Times New Roman" w:eastAsia="Times New Roman" w:hAnsi="Times New Roman" w:cs="Times New Roman"/>
          <w:sz w:val="22"/>
          <w:szCs w:val="22"/>
        </w:rPr>
        <w:t>required</w:t>
      </w:r>
      <w:r w:rsidRPr="00CF1839">
        <w:rPr>
          <w:rFonts w:ascii="Times New Roman" w:eastAsia="Times New Roman" w:hAnsi="Times New Roman" w:cs="Times New Roman"/>
          <w:sz w:val="22"/>
          <w:szCs w:val="22"/>
        </w:rPr>
        <w:t xml:space="preserve"> to </w:t>
      </w:r>
      <w:r>
        <w:rPr>
          <w:rFonts w:ascii="Times New Roman" w:eastAsia="Times New Roman" w:hAnsi="Times New Roman" w:cs="Times New Roman"/>
          <w:sz w:val="22"/>
          <w:szCs w:val="22"/>
        </w:rPr>
        <w:t>execute</w:t>
      </w:r>
      <w:r w:rsidRPr="00CF1839">
        <w:rPr>
          <w:rFonts w:ascii="Times New Roman" w:eastAsia="Times New Roman" w:hAnsi="Times New Roman" w:cs="Times New Roman"/>
          <w:sz w:val="22"/>
          <w:szCs w:val="22"/>
        </w:rPr>
        <w:t xml:space="preserve"> an assignment of copyright to ACAPT before the commencement of the work to be completed as part of the purpose and objectives of this </w:t>
      </w:r>
      <w:r>
        <w:rPr>
          <w:rFonts w:ascii="Times New Roman" w:eastAsia="Times New Roman" w:hAnsi="Times New Roman" w:cs="Times New Roman"/>
          <w:sz w:val="22"/>
          <w:szCs w:val="22"/>
        </w:rPr>
        <w:t>Committee</w:t>
      </w:r>
      <w:r w:rsidRPr="00CF1839">
        <w:rPr>
          <w:rFonts w:ascii="Times New Roman" w:eastAsia="Times New Roman" w:hAnsi="Times New Roman" w:cs="Times New Roman"/>
          <w:sz w:val="22"/>
          <w:szCs w:val="22"/>
        </w:rPr>
        <w:t>.</w:t>
      </w:r>
      <w:bookmarkStart w:id="0" w:name="_GoBack"/>
      <w:bookmarkEnd w:id="0"/>
    </w:p>
    <w:p w14:paraId="641D055A" w14:textId="77777777" w:rsidR="00BD7A07" w:rsidRPr="00BD7A07" w:rsidRDefault="00BD7A07" w:rsidP="00BD7A07">
      <w:pPr>
        <w:rPr>
          <w:rFonts w:ascii="Times New Roman" w:hAnsi="Times New Roman" w:cs="Times New Roman"/>
          <w:snapToGrid w:val="0"/>
          <w:color w:val="000000"/>
          <w:sz w:val="22"/>
          <w:szCs w:val="22"/>
        </w:rPr>
      </w:pPr>
    </w:p>
    <w:p w14:paraId="2DB71AC8" w14:textId="77777777" w:rsidR="007806F0" w:rsidRPr="00BD7A07" w:rsidRDefault="007806F0" w:rsidP="00BD7A07">
      <w:pPr>
        <w:pStyle w:val="BodyText"/>
        <w:rPr>
          <w:rFonts w:ascii="Times New Roman" w:hAnsi="Times New Roman"/>
          <w:sz w:val="22"/>
          <w:szCs w:val="22"/>
        </w:rPr>
      </w:pPr>
    </w:p>
    <w:p w14:paraId="7E9BE4C5" w14:textId="77777777" w:rsidR="007806F0" w:rsidRPr="00BD7A07" w:rsidRDefault="007806F0" w:rsidP="00BD7A07">
      <w:pPr>
        <w:pStyle w:val="BodyText"/>
        <w:rPr>
          <w:rFonts w:ascii="Times New Roman" w:hAnsi="Times New Roman"/>
          <w:sz w:val="22"/>
          <w:szCs w:val="22"/>
        </w:rPr>
      </w:pPr>
    </w:p>
    <w:p w14:paraId="5DCEEEDE" w14:textId="77777777" w:rsidR="00844CD2" w:rsidRPr="00BD7A07" w:rsidRDefault="00844CD2" w:rsidP="00BD7A07">
      <w:pPr>
        <w:rPr>
          <w:rFonts w:ascii="Times New Roman" w:eastAsia="Times New Roman" w:hAnsi="Times New Roman" w:cs="Times New Roman"/>
          <w:snapToGrid w:val="0"/>
          <w:color w:val="000000"/>
          <w:sz w:val="22"/>
          <w:szCs w:val="22"/>
        </w:rPr>
      </w:pPr>
      <w:r w:rsidRPr="00BD7A07">
        <w:rPr>
          <w:rFonts w:ascii="Times New Roman" w:hAnsi="Times New Roman" w:cs="Times New Roman"/>
          <w:sz w:val="22"/>
          <w:szCs w:val="22"/>
        </w:rPr>
        <w:br w:type="page"/>
      </w:r>
    </w:p>
    <w:p w14:paraId="2939660E" w14:textId="3F52929A" w:rsidR="007806F0" w:rsidRDefault="007806F0" w:rsidP="00E7235F">
      <w:pPr>
        <w:pStyle w:val="BodyText"/>
        <w:rPr>
          <w:rFonts w:ascii="Times New Roman" w:hAnsi="Times New Roman"/>
          <w:sz w:val="22"/>
          <w:szCs w:val="22"/>
        </w:rPr>
      </w:pPr>
      <w:r>
        <w:rPr>
          <w:rFonts w:ascii="Times New Roman" w:hAnsi="Times New Roman"/>
          <w:sz w:val="22"/>
          <w:szCs w:val="22"/>
        </w:rPr>
        <w:lastRenderedPageBreak/>
        <w:t>References:</w:t>
      </w:r>
    </w:p>
    <w:p w14:paraId="5929692B" w14:textId="77777777" w:rsidR="00725121" w:rsidRDefault="00725121" w:rsidP="00E7235F">
      <w:pPr>
        <w:pStyle w:val="BodyText"/>
        <w:rPr>
          <w:rFonts w:ascii="Times New Roman" w:hAnsi="Times New Roman"/>
          <w:sz w:val="22"/>
          <w:szCs w:val="22"/>
        </w:rPr>
      </w:pPr>
    </w:p>
    <w:p w14:paraId="054B7D34" w14:textId="499F9BF9" w:rsidR="00E7235F" w:rsidRPr="00B8246D" w:rsidRDefault="0066748D" w:rsidP="00E7235F">
      <w:pPr>
        <w:pStyle w:val="BodyText"/>
        <w:rPr>
          <w:rFonts w:ascii="Times New Roman" w:hAnsi="Times New Roman"/>
          <w:sz w:val="22"/>
          <w:szCs w:val="22"/>
        </w:rPr>
      </w:pPr>
      <w:r>
        <w:rPr>
          <w:rFonts w:ascii="Times New Roman" w:hAnsi="Times New Roman"/>
          <w:sz w:val="22"/>
          <w:szCs w:val="22"/>
        </w:rPr>
        <w:t xml:space="preserve">Recommendations from the </w:t>
      </w:r>
      <w:r w:rsidRPr="0066748D">
        <w:rPr>
          <w:rFonts w:ascii="Times New Roman" w:hAnsi="Times New Roman"/>
          <w:i/>
          <w:sz w:val="22"/>
          <w:szCs w:val="22"/>
        </w:rPr>
        <w:t>Excellence and Innovation in Physical Therapist Education, Part 2 – A Call to Reform</w:t>
      </w:r>
      <w:r>
        <w:rPr>
          <w:rFonts w:ascii="Times New Roman" w:hAnsi="Times New Roman"/>
          <w:sz w:val="22"/>
          <w:szCs w:val="22"/>
        </w:rPr>
        <w:t xml:space="preserve"> (Jensen et al, 2017)</w:t>
      </w:r>
    </w:p>
    <w:p w14:paraId="3C0EF694" w14:textId="77777777" w:rsidR="00DC0769" w:rsidRDefault="00DC0769" w:rsidP="00277E3D">
      <w:pPr>
        <w:rPr>
          <w:rFonts w:ascii="Times New Roman" w:hAnsi="Times New Roman" w:cs="Times New Roman"/>
          <w:sz w:val="22"/>
          <w:szCs w:val="22"/>
        </w:rPr>
      </w:pPr>
    </w:p>
    <w:tbl>
      <w:tblPr>
        <w:tblW w:w="8987" w:type="dxa"/>
        <w:tblLook w:val="04A0" w:firstRow="1" w:lastRow="0" w:firstColumn="1" w:lastColumn="0" w:noHBand="0" w:noVBand="1"/>
      </w:tblPr>
      <w:tblGrid>
        <w:gridCol w:w="3750"/>
        <w:gridCol w:w="5237"/>
      </w:tblGrid>
      <w:tr w:rsidR="00440D14" w:rsidRPr="00440D14" w14:paraId="5D107B73" w14:textId="77777777" w:rsidTr="005E6EFE">
        <w:trPr>
          <w:trHeight w:val="267"/>
        </w:trPr>
        <w:tc>
          <w:tcPr>
            <w:tcW w:w="375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EAFF829" w14:textId="77777777" w:rsidR="00440D14" w:rsidRPr="00440D14" w:rsidRDefault="00440D14" w:rsidP="00440D14">
            <w:pPr>
              <w:jc w:val="center"/>
              <w:rPr>
                <w:rFonts w:ascii="Calibri" w:eastAsia="Times New Roman" w:hAnsi="Calibri" w:cs="Calibri"/>
                <w:color w:val="000000"/>
                <w:sz w:val="20"/>
                <w:szCs w:val="20"/>
              </w:rPr>
            </w:pPr>
            <w:r w:rsidRPr="00440D14">
              <w:rPr>
                <w:rFonts w:ascii="Calibri" w:eastAsia="Times New Roman" w:hAnsi="Calibri" w:cs="Calibri"/>
                <w:color w:val="000000"/>
                <w:sz w:val="20"/>
                <w:szCs w:val="20"/>
              </w:rPr>
              <w:t>Priorities</w:t>
            </w:r>
          </w:p>
        </w:tc>
        <w:tc>
          <w:tcPr>
            <w:tcW w:w="5237" w:type="dxa"/>
            <w:tcBorders>
              <w:top w:val="single" w:sz="8" w:space="0" w:color="auto"/>
              <w:left w:val="nil"/>
              <w:bottom w:val="single" w:sz="8" w:space="0" w:color="auto"/>
              <w:right w:val="single" w:sz="8" w:space="0" w:color="auto"/>
            </w:tcBorders>
            <w:shd w:val="clear" w:color="000000" w:fill="D9D9D9"/>
            <w:hideMark/>
          </w:tcPr>
          <w:p w14:paraId="2FD01709" w14:textId="77777777" w:rsidR="00440D14" w:rsidRPr="00440D14" w:rsidRDefault="00440D14" w:rsidP="00440D14">
            <w:pPr>
              <w:jc w:val="center"/>
              <w:rPr>
                <w:rFonts w:ascii="Calibri" w:eastAsia="Times New Roman" w:hAnsi="Calibri" w:cs="Calibri"/>
                <w:color w:val="000000"/>
                <w:sz w:val="20"/>
                <w:szCs w:val="20"/>
              </w:rPr>
            </w:pPr>
            <w:r w:rsidRPr="00440D14">
              <w:rPr>
                <w:rFonts w:ascii="Calibri" w:eastAsia="Times New Roman" w:hAnsi="Calibri" w:cs="Calibri"/>
                <w:color w:val="000000"/>
                <w:sz w:val="20"/>
                <w:szCs w:val="20"/>
              </w:rPr>
              <w:t>Goal</w:t>
            </w:r>
          </w:p>
        </w:tc>
      </w:tr>
      <w:tr w:rsidR="00440D14" w:rsidRPr="00440D14" w14:paraId="525FDFA8" w14:textId="77777777" w:rsidTr="005E6EFE">
        <w:trPr>
          <w:trHeight w:val="514"/>
        </w:trPr>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14:paraId="5C5CDA0B"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Address the shortage of qualified faculty and of academic leadership</w:t>
            </w:r>
          </w:p>
        </w:tc>
        <w:tc>
          <w:tcPr>
            <w:tcW w:w="5237" w:type="dxa"/>
            <w:tcBorders>
              <w:top w:val="nil"/>
              <w:left w:val="nil"/>
              <w:bottom w:val="single" w:sz="4" w:space="0" w:color="auto"/>
              <w:right w:val="single" w:sz="4" w:space="0" w:color="auto"/>
            </w:tcBorders>
            <w:shd w:val="clear" w:color="auto" w:fill="auto"/>
            <w:hideMark/>
          </w:tcPr>
          <w:p w14:paraId="7125CE15"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Cultivate shared values of excellence, trust, respect, and collaboration.</w:t>
            </w:r>
          </w:p>
        </w:tc>
      </w:tr>
      <w:tr w:rsidR="00440D14" w:rsidRPr="00440D14" w14:paraId="118B2C6A" w14:textId="77777777" w:rsidTr="005E6EFE">
        <w:trPr>
          <w:trHeight w:val="514"/>
        </w:trPr>
        <w:tc>
          <w:tcPr>
            <w:tcW w:w="3750" w:type="dxa"/>
            <w:vMerge/>
            <w:tcBorders>
              <w:top w:val="nil"/>
              <w:left w:val="single" w:sz="4" w:space="0" w:color="auto"/>
              <w:bottom w:val="single" w:sz="4" w:space="0" w:color="auto"/>
              <w:right w:val="single" w:sz="4" w:space="0" w:color="auto"/>
            </w:tcBorders>
            <w:vAlign w:val="center"/>
            <w:hideMark/>
          </w:tcPr>
          <w:p w14:paraId="43141CC1"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759FE117"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shared leadership models that facilitate innovation and excellence.</w:t>
            </w:r>
          </w:p>
        </w:tc>
      </w:tr>
      <w:tr w:rsidR="00440D14" w:rsidRPr="00440D14" w14:paraId="35AB22C5" w14:textId="77777777" w:rsidTr="005E6EFE">
        <w:trPr>
          <w:trHeight w:val="256"/>
        </w:trPr>
        <w:tc>
          <w:tcPr>
            <w:tcW w:w="3750" w:type="dxa"/>
            <w:vMerge/>
            <w:tcBorders>
              <w:top w:val="nil"/>
              <w:left w:val="single" w:sz="4" w:space="0" w:color="auto"/>
              <w:bottom w:val="single" w:sz="4" w:space="0" w:color="auto"/>
              <w:right w:val="single" w:sz="4" w:space="0" w:color="auto"/>
            </w:tcBorders>
            <w:vAlign w:val="center"/>
            <w:hideMark/>
          </w:tcPr>
          <w:p w14:paraId="23339821"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0D5FF79E"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Foster innovation and risk taking to drive the shared vision.</w:t>
            </w:r>
          </w:p>
        </w:tc>
      </w:tr>
      <w:tr w:rsidR="00440D14" w:rsidRPr="00440D14" w14:paraId="395899A2" w14:textId="77777777" w:rsidTr="005E6EFE">
        <w:trPr>
          <w:trHeight w:val="256"/>
        </w:trPr>
        <w:tc>
          <w:tcPr>
            <w:tcW w:w="3750" w:type="dxa"/>
            <w:tcBorders>
              <w:top w:val="nil"/>
              <w:left w:val="nil"/>
              <w:bottom w:val="nil"/>
              <w:right w:val="nil"/>
            </w:tcBorders>
            <w:shd w:val="clear" w:color="000000" w:fill="EDEDED"/>
            <w:vAlign w:val="center"/>
            <w:hideMark/>
          </w:tcPr>
          <w:p w14:paraId="0161A627"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1A2FDDB1"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463DBD7C" w14:textId="77777777" w:rsidTr="005E6EFE">
        <w:trPr>
          <w:trHeight w:val="514"/>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0AA206"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Create strong, equal academic-</w:t>
            </w:r>
            <w:r w:rsidRPr="00440D14">
              <w:rPr>
                <w:rFonts w:ascii="Calibri" w:eastAsia="Times New Roman" w:hAnsi="Calibri" w:cs="Calibri"/>
                <w:color w:val="000000"/>
                <w:sz w:val="20"/>
                <w:szCs w:val="20"/>
              </w:rPr>
              <w:br/>
              <w:t>practice partnerships that foster excellence</w:t>
            </w:r>
          </w:p>
        </w:tc>
        <w:tc>
          <w:tcPr>
            <w:tcW w:w="5237" w:type="dxa"/>
            <w:tcBorders>
              <w:top w:val="single" w:sz="4" w:space="0" w:color="auto"/>
              <w:left w:val="nil"/>
              <w:bottom w:val="single" w:sz="4" w:space="0" w:color="auto"/>
              <w:right w:val="single" w:sz="4" w:space="0" w:color="auto"/>
            </w:tcBorders>
            <w:shd w:val="clear" w:color="auto" w:fill="auto"/>
            <w:hideMark/>
          </w:tcPr>
          <w:p w14:paraId="0DF68AF6"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Build fair, creative, and responsible partnerships between academic and clinical faculty.</w:t>
            </w:r>
          </w:p>
        </w:tc>
      </w:tr>
      <w:tr w:rsidR="00440D14" w:rsidRPr="00440D14" w14:paraId="4576F69D" w14:textId="77777777" w:rsidTr="005E6EFE">
        <w:trPr>
          <w:trHeight w:val="256"/>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499B07C7"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5B862CF1"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Make clinical faculty full partners with the academic program.</w:t>
            </w:r>
          </w:p>
        </w:tc>
      </w:tr>
      <w:tr w:rsidR="00440D14" w:rsidRPr="00440D14" w14:paraId="78E39545" w14:textId="77777777" w:rsidTr="005E6EFE">
        <w:trPr>
          <w:trHeight w:val="514"/>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7FDFAF6F"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435A43B0"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Require early authentic clinical experiences that provide for teaching and learning in the context of practice.</w:t>
            </w:r>
          </w:p>
        </w:tc>
      </w:tr>
      <w:tr w:rsidR="00440D14" w:rsidRPr="00440D14" w14:paraId="69A81364" w14:textId="77777777" w:rsidTr="005E6EFE">
        <w:trPr>
          <w:trHeight w:val="256"/>
        </w:trPr>
        <w:tc>
          <w:tcPr>
            <w:tcW w:w="3750" w:type="dxa"/>
            <w:tcBorders>
              <w:top w:val="nil"/>
              <w:left w:val="nil"/>
              <w:bottom w:val="nil"/>
              <w:right w:val="nil"/>
            </w:tcBorders>
            <w:shd w:val="clear" w:color="000000" w:fill="EDEDED"/>
            <w:vAlign w:val="center"/>
            <w:hideMark/>
          </w:tcPr>
          <w:p w14:paraId="4DE26C34"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025DF5B7"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14A20C0F" w14:textId="77777777" w:rsidTr="005E6EFE">
        <w:trPr>
          <w:trHeight w:val="770"/>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CE015"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Infuse the learning sciences into the preparation of academic, clinical, residency, and fellowship faculty</w:t>
            </w:r>
          </w:p>
        </w:tc>
        <w:tc>
          <w:tcPr>
            <w:tcW w:w="5237" w:type="dxa"/>
            <w:tcBorders>
              <w:top w:val="single" w:sz="4" w:space="0" w:color="auto"/>
              <w:left w:val="nil"/>
              <w:bottom w:val="single" w:sz="4" w:space="0" w:color="auto"/>
              <w:right w:val="single" w:sz="4" w:space="0" w:color="auto"/>
            </w:tcBorders>
            <w:shd w:val="clear" w:color="auto" w:fill="auto"/>
            <w:hideMark/>
          </w:tcPr>
          <w:p w14:paraId="532D8707"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Implement faculty development programs grounded in the learning sciences that facilitate an understanding of, and competence in, the pedagogy of learning for and through practice.</w:t>
            </w:r>
          </w:p>
        </w:tc>
      </w:tr>
      <w:tr w:rsidR="00440D14" w:rsidRPr="00440D14" w14:paraId="63D10AB2" w14:textId="77777777" w:rsidTr="005E6EFE">
        <w:trPr>
          <w:trHeight w:val="1028"/>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27B5603C"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7439ADE4"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Create learning environments in academic and clinical settings that provide opportunities for situated learning experiences that are intentional, sequenced, and occur frequently across the curriculum.</w:t>
            </w:r>
          </w:p>
        </w:tc>
      </w:tr>
      <w:tr w:rsidR="00440D14" w:rsidRPr="00440D14" w14:paraId="6C8871CD" w14:textId="77777777" w:rsidTr="005E6EFE">
        <w:trPr>
          <w:trHeight w:val="514"/>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65944D11"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055D6F6E"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Foster opportunities for physical therapist educational researchers to generate an evidence-based approach to teaching and learning.</w:t>
            </w:r>
          </w:p>
        </w:tc>
      </w:tr>
      <w:tr w:rsidR="00440D14" w:rsidRPr="00440D14" w14:paraId="00E1BAC7" w14:textId="77777777" w:rsidTr="005E6EFE">
        <w:trPr>
          <w:trHeight w:val="256"/>
        </w:trPr>
        <w:tc>
          <w:tcPr>
            <w:tcW w:w="3750" w:type="dxa"/>
            <w:tcBorders>
              <w:top w:val="nil"/>
              <w:left w:val="nil"/>
              <w:bottom w:val="nil"/>
              <w:right w:val="nil"/>
            </w:tcBorders>
            <w:shd w:val="clear" w:color="000000" w:fill="EDEDED"/>
            <w:vAlign w:val="center"/>
            <w:hideMark/>
          </w:tcPr>
          <w:p w14:paraId="4982B112"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35CFD316"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77542E6E" w14:textId="77777777" w:rsidTr="005E6EFE">
        <w:trPr>
          <w:trHeight w:val="770"/>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63BDF" w14:textId="10F3A46B" w:rsidR="00440D14" w:rsidRPr="0066748D" w:rsidRDefault="00440D14" w:rsidP="0066748D">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a continuum of professional performance expectations that are grounded in key competencies and support excellence in learner development</w:t>
            </w:r>
          </w:p>
        </w:tc>
        <w:tc>
          <w:tcPr>
            <w:tcW w:w="5237" w:type="dxa"/>
            <w:tcBorders>
              <w:top w:val="single" w:sz="4" w:space="0" w:color="auto"/>
              <w:left w:val="nil"/>
              <w:bottom w:val="single" w:sz="4" w:space="0" w:color="auto"/>
              <w:right w:val="single" w:sz="4" w:space="0" w:color="auto"/>
            </w:tcBorders>
            <w:shd w:val="clear" w:color="auto" w:fill="auto"/>
            <w:hideMark/>
          </w:tcPr>
          <w:p w14:paraId="66F8F176"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xml:space="preserve">Require academic programs to participate in residency education to enable reciprocal teaching and learning between professional and </w:t>
            </w:r>
            <w:proofErr w:type="spellStart"/>
            <w:r w:rsidRPr="00440D14">
              <w:rPr>
                <w:rFonts w:ascii="Calibri" w:eastAsia="Times New Roman" w:hAnsi="Calibri" w:cs="Calibri"/>
                <w:color w:val="000000"/>
                <w:sz w:val="20"/>
                <w:szCs w:val="20"/>
              </w:rPr>
              <w:t>postprofessional</w:t>
            </w:r>
            <w:proofErr w:type="spellEnd"/>
            <w:r w:rsidRPr="00440D14">
              <w:rPr>
                <w:rFonts w:ascii="Calibri" w:eastAsia="Times New Roman" w:hAnsi="Calibri" w:cs="Calibri"/>
                <w:color w:val="000000"/>
                <w:sz w:val="20"/>
                <w:szCs w:val="20"/>
              </w:rPr>
              <w:t xml:space="preserve"> learners in communities of practice.</w:t>
            </w:r>
          </w:p>
        </w:tc>
      </w:tr>
      <w:tr w:rsidR="00440D14" w:rsidRPr="00440D14" w14:paraId="7C55731F" w14:textId="77777777" w:rsidTr="005E6EFE">
        <w:trPr>
          <w:trHeight w:val="770"/>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738627BF"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7CAFB8E7"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Establish a comprehensive, longitudinal approach for standardization of performance-based learning outcomes grounded in foundational domains of professional competence.</w:t>
            </w:r>
          </w:p>
        </w:tc>
      </w:tr>
      <w:tr w:rsidR="00440D14" w:rsidRPr="00440D14" w14:paraId="420A83EE" w14:textId="77777777" w:rsidTr="005E6EFE">
        <w:trPr>
          <w:trHeight w:val="770"/>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752E5A2E"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0E468289"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Create a national data set that includes essential metrics of performance outcomes, structures, and processes to guide future evidence-based change.</w:t>
            </w:r>
          </w:p>
        </w:tc>
      </w:tr>
      <w:tr w:rsidR="00440D14" w:rsidRPr="00440D14" w14:paraId="69552592" w14:textId="77777777" w:rsidTr="005E6EFE">
        <w:trPr>
          <w:trHeight w:val="256"/>
        </w:trPr>
        <w:tc>
          <w:tcPr>
            <w:tcW w:w="3750" w:type="dxa"/>
            <w:tcBorders>
              <w:top w:val="nil"/>
              <w:left w:val="nil"/>
              <w:bottom w:val="nil"/>
              <w:right w:val="nil"/>
            </w:tcBorders>
            <w:shd w:val="clear" w:color="000000" w:fill="EDEDED"/>
            <w:vAlign w:val="center"/>
            <w:hideMark/>
          </w:tcPr>
          <w:p w14:paraId="28742A36"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0B8430EA"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77B9C9AC" w14:textId="77777777" w:rsidTr="005E6EFE">
        <w:trPr>
          <w:trHeight w:val="514"/>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F4475"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Focus curriculum content on societal needs for physical therapist practice</w:t>
            </w:r>
          </w:p>
        </w:tc>
        <w:tc>
          <w:tcPr>
            <w:tcW w:w="5237" w:type="dxa"/>
            <w:tcBorders>
              <w:top w:val="single" w:sz="4" w:space="0" w:color="auto"/>
              <w:left w:val="nil"/>
              <w:bottom w:val="single" w:sz="4" w:space="0" w:color="auto"/>
              <w:right w:val="single" w:sz="4" w:space="0" w:color="auto"/>
            </w:tcBorders>
            <w:shd w:val="clear" w:color="auto" w:fill="auto"/>
            <w:hideMark/>
          </w:tcPr>
          <w:p w14:paraId="4D41FDFE"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Demonstrate learner-centered teaching and patient-centered care in all settings.</w:t>
            </w:r>
          </w:p>
        </w:tc>
      </w:tr>
      <w:tr w:rsidR="00440D14" w:rsidRPr="00440D14" w14:paraId="558865EC" w14:textId="77777777" w:rsidTr="005E6EFE">
        <w:trPr>
          <w:trHeight w:val="770"/>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2D7AB882"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580511CA"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Make the profession’s signature pedagogy, the human body as teacher, visible in all environments and available for further investigation.</w:t>
            </w:r>
          </w:p>
        </w:tc>
      </w:tr>
      <w:tr w:rsidR="00440D14" w:rsidRPr="00440D14" w14:paraId="679DB643" w14:textId="77777777" w:rsidTr="005E6EFE">
        <w:trPr>
          <w:trHeight w:val="770"/>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6CBAEC05"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59FD5B20"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consistent, shared language about the multifactorial movement system that can be used across academic and clinical settings.</w:t>
            </w:r>
          </w:p>
        </w:tc>
      </w:tr>
      <w:tr w:rsidR="00440D14" w:rsidRPr="00440D14" w14:paraId="327B3ECB" w14:textId="77777777" w:rsidTr="005E6EFE">
        <w:trPr>
          <w:trHeight w:val="514"/>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286607CD"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6D4606AE"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a comprehensive, longitudinal approach to teaching, learning and assessment of clinical reasoning abilities.</w:t>
            </w:r>
          </w:p>
        </w:tc>
      </w:tr>
      <w:tr w:rsidR="00440D14" w:rsidRPr="00440D14" w14:paraId="0C9F5B94" w14:textId="77777777" w:rsidTr="005E6EFE">
        <w:trPr>
          <w:trHeight w:val="256"/>
        </w:trPr>
        <w:tc>
          <w:tcPr>
            <w:tcW w:w="3750" w:type="dxa"/>
            <w:tcBorders>
              <w:top w:val="nil"/>
              <w:left w:val="nil"/>
              <w:bottom w:val="nil"/>
              <w:right w:val="nil"/>
            </w:tcBorders>
            <w:shd w:val="clear" w:color="000000" w:fill="EDEDED"/>
            <w:vAlign w:val="center"/>
            <w:hideMark/>
          </w:tcPr>
          <w:p w14:paraId="3D24B5B5"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445BB0ED"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5F3E4631" w14:textId="77777777" w:rsidTr="005E6EFE">
        <w:trPr>
          <w:trHeight w:val="1028"/>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8EA52"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Devote significant resources to</w:t>
            </w:r>
            <w:r w:rsidRPr="00440D14">
              <w:rPr>
                <w:rFonts w:ascii="Calibri" w:eastAsia="Times New Roman" w:hAnsi="Calibri" w:cs="Calibri"/>
                <w:color w:val="000000"/>
                <w:sz w:val="20"/>
                <w:szCs w:val="20"/>
              </w:rPr>
              <w:br/>
              <w:t>enhance the diversity in the profession</w:t>
            </w:r>
          </w:p>
        </w:tc>
        <w:tc>
          <w:tcPr>
            <w:tcW w:w="5237" w:type="dxa"/>
            <w:tcBorders>
              <w:top w:val="single" w:sz="4" w:space="0" w:color="auto"/>
              <w:left w:val="nil"/>
              <w:bottom w:val="single" w:sz="4" w:space="0" w:color="auto"/>
              <w:right w:val="single" w:sz="4" w:space="0" w:color="auto"/>
            </w:tcBorders>
            <w:shd w:val="clear" w:color="auto" w:fill="auto"/>
            <w:hideMark/>
          </w:tcPr>
          <w:p w14:paraId="1792366A"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Academic institutions must take a leadership role to create more diverse and inclusive learning and practice environments in order for the profession to have a positive impact on addressing the social determinants of health.</w:t>
            </w:r>
          </w:p>
        </w:tc>
      </w:tr>
      <w:tr w:rsidR="00440D14" w:rsidRPr="00440D14" w14:paraId="152540CC" w14:textId="77777777" w:rsidTr="005E6EFE">
        <w:trPr>
          <w:trHeight w:val="256"/>
        </w:trPr>
        <w:tc>
          <w:tcPr>
            <w:tcW w:w="3750" w:type="dxa"/>
            <w:tcBorders>
              <w:top w:val="nil"/>
              <w:left w:val="nil"/>
              <w:bottom w:val="nil"/>
              <w:right w:val="nil"/>
            </w:tcBorders>
            <w:shd w:val="clear" w:color="000000" w:fill="EDEDED"/>
            <w:vAlign w:val="center"/>
            <w:hideMark/>
          </w:tcPr>
          <w:p w14:paraId="73179CCA"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6BE6ED29"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1807AB48" w14:textId="77777777" w:rsidTr="005E6EFE">
        <w:trPr>
          <w:trHeight w:val="1800"/>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3922C"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Educate students to become moral agents as health care practitioners</w:t>
            </w:r>
          </w:p>
        </w:tc>
        <w:tc>
          <w:tcPr>
            <w:tcW w:w="5237" w:type="dxa"/>
            <w:tcBorders>
              <w:top w:val="single" w:sz="4" w:space="0" w:color="auto"/>
              <w:left w:val="nil"/>
              <w:bottom w:val="single" w:sz="4" w:space="0" w:color="auto"/>
              <w:right w:val="single" w:sz="4" w:space="0" w:color="auto"/>
            </w:tcBorders>
            <w:shd w:val="clear" w:color="auto" w:fill="auto"/>
            <w:hideMark/>
          </w:tcPr>
          <w:p w14:paraId="427B8770"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a strong sense of the moral foundations that underpin and are inseparable from practice in all physical therapists so that they develop the moral courage and ability to meet patients’ needs. There must be faculty who have expertise in the moral foundations of practice and who collaborate with other faculty members to integrate the moral foundation of practice into learning throughout the curriculum.</w:t>
            </w:r>
          </w:p>
        </w:tc>
      </w:tr>
      <w:tr w:rsidR="00440D14" w:rsidRPr="00440D14" w14:paraId="4538B13B" w14:textId="77777777" w:rsidTr="005E6EFE">
        <w:trPr>
          <w:trHeight w:val="514"/>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7942A997"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0D710E27"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Prepare learners who act as moral agents and exhibit moral courage in addressing substandard practices.</w:t>
            </w:r>
          </w:p>
        </w:tc>
      </w:tr>
      <w:tr w:rsidR="00440D14" w:rsidRPr="00440D14" w14:paraId="13917600" w14:textId="77777777" w:rsidTr="005E6EFE">
        <w:trPr>
          <w:trHeight w:val="514"/>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2AF3EDB7"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6AF351AE"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Act on our individual and collective responsibilities to society, or we jeopardize our status as a profession.</w:t>
            </w:r>
          </w:p>
        </w:tc>
      </w:tr>
      <w:tr w:rsidR="00440D14" w:rsidRPr="00440D14" w14:paraId="6946017C" w14:textId="77777777" w:rsidTr="005E6EFE">
        <w:trPr>
          <w:trHeight w:val="1028"/>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4E68A628"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1FBB234D"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Recognize the unique responsibility as academic programs to partner with the community in developing and implementing programs that place positive health outcomes to the community as their primary focus.</w:t>
            </w:r>
          </w:p>
        </w:tc>
      </w:tr>
      <w:tr w:rsidR="00440D14" w:rsidRPr="00440D14" w14:paraId="282C5D21" w14:textId="77777777" w:rsidTr="005E6EFE">
        <w:trPr>
          <w:trHeight w:val="256"/>
        </w:trPr>
        <w:tc>
          <w:tcPr>
            <w:tcW w:w="3750" w:type="dxa"/>
            <w:tcBorders>
              <w:top w:val="nil"/>
              <w:left w:val="nil"/>
              <w:bottom w:val="nil"/>
              <w:right w:val="nil"/>
            </w:tcBorders>
            <w:shd w:val="clear" w:color="000000" w:fill="EDEDED"/>
            <w:vAlign w:val="center"/>
            <w:hideMark/>
          </w:tcPr>
          <w:p w14:paraId="3DB3DAF2"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37E35B25"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161EF25B" w14:textId="77777777" w:rsidTr="005E6EFE">
        <w:trPr>
          <w:trHeight w:val="514"/>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D87CA"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Achieve control of fiscal resources for physical therapist education</w:t>
            </w:r>
          </w:p>
        </w:tc>
        <w:tc>
          <w:tcPr>
            <w:tcW w:w="5237" w:type="dxa"/>
            <w:tcBorders>
              <w:top w:val="single" w:sz="4" w:space="0" w:color="auto"/>
              <w:left w:val="nil"/>
              <w:bottom w:val="single" w:sz="4" w:space="0" w:color="auto"/>
              <w:right w:val="single" w:sz="4" w:space="0" w:color="auto"/>
            </w:tcBorders>
            <w:shd w:val="clear" w:color="auto" w:fill="auto"/>
            <w:hideMark/>
          </w:tcPr>
          <w:p w14:paraId="414F3131"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leaders who can leverage resources to succeed in a rapidly changing health care system</w:t>
            </w:r>
          </w:p>
        </w:tc>
      </w:tr>
      <w:tr w:rsidR="00440D14" w:rsidRPr="00440D14" w14:paraId="7000F38C" w14:textId="77777777" w:rsidTr="005E6EFE">
        <w:trPr>
          <w:trHeight w:val="256"/>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3C444076"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2169B993"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strong leaders with a compelling vision.</w:t>
            </w:r>
          </w:p>
        </w:tc>
      </w:tr>
      <w:tr w:rsidR="00440D14" w:rsidRPr="00440D14" w14:paraId="25AAECE1" w14:textId="77777777" w:rsidTr="005E6EFE">
        <w:trPr>
          <w:trHeight w:val="1028"/>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6F8C3612"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71034640"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Focus attention across the profession on improved graduates’ outcomes, the need to reduce the cost of education to students and society, and the acquisition of resources to support physical therapist education.</w:t>
            </w:r>
          </w:p>
        </w:tc>
      </w:tr>
      <w:tr w:rsidR="00440D14" w:rsidRPr="00440D14" w14:paraId="51E29E40" w14:textId="77777777" w:rsidTr="005E6EFE">
        <w:trPr>
          <w:trHeight w:val="1286"/>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294E2F4F"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3779ACB0"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Stop expending resources to identify a narrow set of specific academic organizational structures or curricular models for physical therapist education; expend resources to identify the best way to achieve excellence reflected in the findings of this study and recommendations.</w:t>
            </w:r>
          </w:p>
        </w:tc>
      </w:tr>
      <w:tr w:rsidR="00440D14" w:rsidRPr="00440D14" w14:paraId="2908E0E5" w14:textId="77777777" w:rsidTr="005E6EFE">
        <w:trPr>
          <w:trHeight w:val="1286"/>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7DDDCD92"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41244F74"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Assure that academic programs have control of their financial resources, and that they develop economic models for revenue generation through multiple means, and move toward larger programs as one means to increase the range and depth of faculty expertise and other necessary resources.</w:t>
            </w:r>
          </w:p>
        </w:tc>
      </w:tr>
      <w:tr w:rsidR="00440D14" w:rsidRPr="00440D14" w14:paraId="6EE41861" w14:textId="77777777" w:rsidTr="005E6EFE">
        <w:trPr>
          <w:trHeight w:val="770"/>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54A87D2B"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5ED6BB80"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Develop strategies so that academic programs become respected, valued partners within their organizations and have influence over their resources.</w:t>
            </w:r>
          </w:p>
        </w:tc>
      </w:tr>
      <w:tr w:rsidR="00440D14" w:rsidRPr="00440D14" w14:paraId="390B1197" w14:textId="77777777" w:rsidTr="005E6EFE">
        <w:trPr>
          <w:trHeight w:val="256"/>
        </w:trPr>
        <w:tc>
          <w:tcPr>
            <w:tcW w:w="3750" w:type="dxa"/>
            <w:tcBorders>
              <w:top w:val="nil"/>
              <w:left w:val="nil"/>
              <w:bottom w:val="nil"/>
              <w:right w:val="nil"/>
            </w:tcBorders>
            <w:shd w:val="clear" w:color="000000" w:fill="EDEDED"/>
            <w:vAlign w:val="center"/>
            <w:hideMark/>
          </w:tcPr>
          <w:p w14:paraId="3F883D3F"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c>
          <w:tcPr>
            <w:tcW w:w="5237" w:type="dxa"/>
            <w:tcBorders>
              <w:top w:val="nil"/>
              <w:left w:val="nil"/>
              <w:bottom w:val="nil"/>
              <w:right w:val="nil"/>
            </w:tcBorders>
            <w:shd w:val="clear" w:color="000000" w:fill="EDEDED"/>
            <w:hideMark/>
          </w:tcPr>
          <w:p w14:paraId="68A2650A"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w:t>
            </w:r>
          </w:p>
        </w:tc>
      </w:tr>
      <w:tr w:rsidR="00440D14" w:rsidRPr="00440D14" w14:paraId="1A9FBB3B" w14:textId="77777777" w:rsidTr="005E6EFE">
        <w:trPr>
          <w:trHeight w:val="770"/>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EA957"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lastRenderedPageBreak/>
              <w:t>Take decisive action to demonstrate and increase the value of clinical education in the profession</w:t>
            </w:r>
          </w:p>
        </w:tc>
        <w:tc>
          <w:tcPr>
            <w:tcW w:w="5237" w:type="dxa"/>
            <w:tcBorders>
              <w:top w:val="single" w:sz="4" w:space="0" w:color="auto"/>
              <w:left w:val="nil"/>
              <w:bottom w:val="single" w:sz="4" w:space="0" w:color="auto"/>
              <w:right w:val="single" w:sz="4" w:space="0" w:color="auto"/>
            </w:tcBorders>
            <w:shd w:val="clear" w:color="auto" w:fill="auto"/>
            <w:hideMark/>
          </w:tcPr>
          <w:p w14:paraId="5FA3667D"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Use reasonable productivity standards in clinical education sites that recognize the contribution of the CI/student team to patient care with analysis over relatively longer time frames.</w:t>
            </w:r>
          </w:p>
        </w:tc>
      </w:tr>
      <w:tr w:rsidR="00440D14" w:rsidRPr="00440D14" w14:paraId="3FF9ACD0" w14:textId="77777777" w:rsidTr="005E6EFE">
        <w:trPr>
          <w:trHeight w:val="770"/>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7CDE7689"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7D765722"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 xml:space="preserve">Include professional and </w:t>
            </w:r>
            <w:proofErr w:type="spellStart"/>
            <w:r w:rsidRPr="00440D14">
              <w:rPr>
                <w:rFonts w:ascii="Calibri" w:eastAsia="Times New Roman" w:hAnsi="Calibri" w:cs="Calibri"/>
                <w:color w:val="000000"/>
                <w:sz w:val="20"/>
                <w:szCs w:val="20"/>
              </w:rPr>
              <w:t>postprofessional</w:t>
            </w:r>
            <w:proofErr w:type="spellEnd"/>
            <w:r w:rsidRPr="00440D14">
              <w:rPr>
                <w:rFonts w:ascii="Calibri" w:eastAsia="Times New Roman" w:hAnsi="Calibri" w:cs="Calibri"/>
                <w:color w:val="000000"/>
                <w:sz w:val="20"/>
                <w:szCs w:val="20"/>
              </w:rPr>
              <w:t xml:space="preserve"> education in the missions of clinical education sites. All clinicians at clinical education sites should contribute to clinical education.</w:t>
            </w:r>
          </w:p>
        </w:tc>
      </w:tr>
      <w:tr w:rsidR="00440D14" w:rsidRPr="00440D14" w14:paraId="15D0E505" w14:textId="77777777" w:rsidTr="005E6EFE">
        <w:trPr>
          <w:trHeight w:val="514"/>
        </w:trPr>
        <w:tc>
          <w:tcPr>
            <w:tcW w:w="3750" w:type="dxa"/>
            <w:vMerge/>
            <w:tcBorders>
              <w:top w:val="single" w:sz="4" w:space="0" w:color="auto"/>
              <w:left w:val="single" w:sz="4" w:space="0" w:color="auto"/>
              <w:bottom w:val="single" w:sz="4" w:space="0" w:color="auto"/>
              <w:right w:val="single" w:sz="4" w:space="0" w:color="auto"/>
            </w:tcBorders>
            <w:vAlign w:val="center"/>
            <w:hideMark/>
          </w:tcPr>
          <w:p w14:paraId="68676BF8" w14:textId="77777777" w:rsidR="00440D14" w:rsidRPr="00440D14" w:rsidRDefault="00440D14" w:rsidP="00440D14">
            <w:pPr>
              <w:rPr>
                <w:rFonts w:ascii="Calibri" w:eastAsia="Times New Roman" w:hAnsi="Calibri" w:cs="Calibri"/>
                <w:color w:val="000000"/>
                <w:sz w:val="20"/>
                <w:szCs w:val="20"/>
              </w:rPr>
            </w:pPr>
          </w:p>
        </w:tc>
        <w:tc>
          <w:tcPr>
            <w:tcW w:w="5237" w:type="dxa"/>
            <w:tcBorders>
              <w:top w:val="nil"/>
              <w:left w:val="nil"/>
              <w:bottom w:val="single" w:sz="4" w:space="0" w:color="auto"/>
              <w:right w:val="single" w:sz="4" w:space="0" w:color="auto"/>
            </w:tcBorders>
            <w:shd w:val="clear" w:color="auto" w:fill="auto"/>
            <w:hideMark/>
          </w:tcPr>
          <w:p w14:paraId="62A60313" w14:textId="77777777" w:rsidR="00440D14" w:rsidRPr="00440D14" w:rsidRDefault="00440D14" w:rsidP="00440D14">
            <w:pPr>
              <w:rPr>
                <w:rFonts w:ascii="Calibri" w:eastAsia="Times New Roman" w:hAnsi="Calibri" w:cs="Calibri"/>
                <w:color w:val="000000"/>
                <w:sz w:val="20"/>
                <w:szCs w:val="20"/>
              </w:rPr>
            </w:pPr>
            <w:r w:rsidRPr="00440D14">
              <w:rPr>
                <w:rFonts w:ascii="Calibri" w:eastAsia="Times New Roman" w:hAnsi="Calibri" w:cs="Calibri"/>
                <w:color w:val="000000"/>
                <w:sz w:val="20"/>
                <w:szCs w:val="20"/>
              </w:rPr>
              <w:t>Clearly articulate the financial and other benefits from clinical education.</w:t>
            </w:r>
          </w:p>
        </w:tc>
      </w:tr>
    </w:tbl>
    <w:p w14:paraId="291159FA" w14:textId="77777777" w:rsidR="00440D14" w:rsidRDefault="00440D14" w:rsidP="00277E3D">
      <w:pPr>
        <w:rPr>
          <w:rFonts w:ascii="Times New Roman" w:hAnsi="Times New Roman" w:cs="Times New Roman"/>
          <w:sz w:val="22"/>
          <w:szCs w:val="22"/>
        </w:rPr>
      </w:pPr>
    </w:p>
    <w:p w14:paraId="39339099" w14:textId="77777777" w:rsidR="0066748D" w:rsidRDefault="0066748D" w:rsidP="00277E3D">
      <w:pPr>
        <w:rPr>
          <w:rFonts w:ascii="Times New Roman" w:hAnsi="Times New Roman" w:cs="Times New Roman"/>
          <w:sz w:val="22"/>
          <w:szCs w:val="22"/>
        </w:rPr>
      </w:pPr>
    </w:p>
    <w:p w14:paraId="19B59507" w14:textId="1EEA4F88" w:rsidR="00440D14" w:rsidRDefault="00440D14" w:rsidP="00277E3D">
      <w:pPr>
        <w:rPr>
          <w:rFonts w:ascii="Times New Roman" w:hAnsi="Times New Roman" w:cs="Times New Roman"/>
          <w:sz w:val="22"/>
          <w:szCs w:val="22"/>
        </w:rPr>
      </w:pPr>
      <w:r>
        <w:rPr>
          <w:rFonts w:ascii="Times New Roman" w:hAnsi="Times New Roman" w:cs="Times New Roman"/>
          <w:sz w:val="22"/>
          <w:szCs w:val="22"/>
        </w:rPr>
        <w:t>ELP Education Research Strategy Meeting Outcomes:</w:t>
      </w:r>
    </w:p>
    <w:tbl>
      <w:tblPr>
        <w:tblW w:w="8976" w:type="dxa"/>
        <w:tblLook w:val="04A0" w:firstRow="1" w:lastRow="0" w:firstColumn="1" w:lastColumn="0" w:noHBand="0" w:noVBand="1"/>
      </w:tblPr>
      <w:tblGrid>
        <w:gridCol w:w="2232"/>
        <w:gridCol w:w="2982"/>
        <w:gridCol w:w="3762"/>
      </w:tblGrid>
      <w:tr w:rsidR="00440D14" w:rsidRPr="00440D14" w14:paraId="6F418A20" w14:textId="77777777" w:rsidTr="005E6EFE">
        <w:trPr>
          <w:trHeight w:val="291"/>
        </w:trPr>
        <w:tc>
          <w:tcPr>
            <w:tcW w:w="2232" w:type="dxa"/>
            <w:tcBorders>
              <w:top w:val="single" w:sz="8" w:space="0" w:color="auto"/>
              <w:left w:val="single" w:sz="8" w:space="0" w:color="auto"/>
              <w:bottom w:val="nil"/>
              <w:right w:val="single" w:sz="8" w:space="0" w:color="auto"/>
            </w:tcBorders>
            <w:shd w:val="clear" w:color="000000" w:fill="D9D9D9"/>
            <w:vAlign w:val="center"/>
            <w:hideMark/>
          </w:tcPr>
          <w:p w14:paraId="2C19CB36"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Priorities</w:t>
            </w:r>
          </w:p>
        </w:tc>
        <w:tc>
          <w:tcPr>
            <w:tcW w:w="2982" w:type="dxa"/>
            <w:tcBorders>
              <w:top w:val="single" w:sz="8" w:space="0" w:color="auto"/>
              <w:left w:val="nil"/>
              <w:bottom w:val="nil"/>
              <w:right w:val="single" w:sz="8" w:space="0" w:color="auto"/>
            </w:tcBorders>
            <w:shd w:val="clear" w:color="000000" w:fill="D9D9D9"/>
            <w:hideMark/>
          </w:tcPr>
          <w:p w14:paraId="74959208"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Goals</w:t>
            </w:r>
          </w:p>
        </w:tc>
        <w:tc>
          <w:tcPr>
            <w:tcW w:w="3762" w:type="dxa"/>
            <w:tcBorders>
              <w:top w:val="single" w:sz="8" w:space="0" w:color="auto"/>
              <w:left w:val="nil"/>
              <w:bottom w:val="nil"/>
              <w:right w:val="single" w:sz="8" w:space="0" w:color="auto"/>
            </w:tcBorders>
            <w:shd w:val="clear" w:color="000000" w:fill="D9D9D9"/>
            <w:hideMark/>
          </w:tcPr>
          <w:p w14:paraId="29103EAF"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Strategies</w:t>
            </w:r>
          </w:p>
        </w:tc>
      </w:tr>
      <w:tr w:rsidR="00440D14" w:rsidRPr="00440D14" w14:paraId="403D68BE" w14:textId="77777777" w:rsidTr="005E6EFE">
        <w:trPr>
          <w:trHeight w:val="874"/>
        </w:trPr>
        <w:tc>
          <w:tcPr>
            <w:tcW w:w="2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CE390"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xml:space="preserve">Conceptual Framing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2E18E"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xml:space="preserve">Develop a robust, longitudinal set of learner performance-based outcomes that span the continuum of professional education through </w:t>
            </w:r>
            <w:proofErr w:type="spellStart"/>
            <w:r w:rsidRPr="00440D14">
              <w:rPr>
                <w:rFonts w:asciiTheme="majorHAnsi" w:eastAsia="Times New Roman" w:hAnsiTheme="majorHAnsi" w:cstheme="majorHAnsi"/>
                <w:color w:val="000000"/>
                <w:sz w:val="20"/>
                <w:szCs w:val="20"/>
              </w:rPr>
              <w:t>postprofessional</w:t>
            </w:r>
            <w:proofErr w:type="spellEnd"/>
            <w:r w:rsidRPr="00440D14">
              <w:rPr>
                <w:rFonts w:asciiTheme="majorHAnsi" w:eastAsia="Times New Roman" w:hAnsiTheme="majorHAnsi" w:cstheme="majorHAnsi"/>
                <w:color w:val="000000"/>
                <w:sz w:val="20"/>
                <w:szCs w:val="20"/>
              </w:rPr>
              <w:t xml:space="preserve"> level. Academic/practice partnerships are critical. (Rec 2 from BPETF; Visions of the Possible)</w:t>
            </w:r>
          </w:p>
        </w:tc>
        <w:tc>
          <w:tcPr>
            <w:tcW w:w="3762" w:type="dxa"/>
            <w:tcBorders>
              <w:top w:val="single" w:sz="4" w:space="0" w:color="auto"/>
              <w:left w:val="nil"/>
              <w:bottom w:val="single" w:sz="4" w:space="0" w:color="auto"/>
              <w:right w:val="single" w:sz="4" w:space="0" w:color="auto"/>
            </w:tcBorders>
            <w:shd w:val="clear" w:color="auto" w:fill="auto"/>
            <w:hideMark/>
          </w:tcPr>
          <w:p w14:paraId="0BE3E10D"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Contract with an external consultant (non-PT) with advisory panel to establish a broad, overarching view and plan for design, process, and implementation.</w:t>
            </w:r>
          </w:p>
        </w:tc>
      </w:tr>
      <w:tr w:rsidR="00440D14" w:rsidRPr="00440D14" w14:paraId="77BA11C9" w14:textId="77777777" w:rsidTr="005E6EFE">
        <w:trPr>
          <w:trHeight w:val="1165"/>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0EE823A2"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AABB2D3"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27F8329A"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Contract with an external consultant, working with an internal stakeholder group, to facilitate review of AAMC process for development of EPAs and how that may be adapted for our use.</w:t>
            </w:r>
          </w:p>
        </w:tc>
      </w:tr>
      <w:tr w:rsidR="00440D14" w:rsidRPr="00440D14" w14:paraId="3EBD1F35" w14:textId="77777777" w:rsidTr="005E6EFE">
        <w:trPr>
          <w:trHeight w:val="1259"/>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3849560A"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0768796"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0E3C6A0D"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Imbed education research projects that are part of the implementation phase, whether it is a pilot structure, development of assessment tools, etc. within all the initiatives (like EPAs, etc.)</w:t>
            </w:r>
          </w:p>
        </w:tc>
      </w:tr>
      <w:tr w:rsidR="00440D14" w:rsidRPr="00440D14" w14:paraId="406C90ED" w14:textId="77777777" w:rsidTr="005E6EFE">
        <w:trPr>
          <w:trHeight w:val="874"/>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78630DB7"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0B12210A"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518A4457"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Develop a communication strategy, including/emphasizing the value proposition, for this work and how an individual can get involved.</w:t>
            </w:r>
          </w:p>
        </w:tc>
      </w:tr>
      <w:tr w:rsidR="00440D14" w:rsidRPr="00440D14" w14:paraId="00819FAB" w14:textId="77777777" w:rsidTr="005E6EFE">
        <w:trPr>
          <w:trHeight w:val="291"/>
        </w:trPr>
        <w:tc>
          <w:tcPr>
            <w:tcW w:w="2232" w:type="dxa"/>
            <w:tcBorders>
              <w:top w:val="nil"/>
              <w:left w:val="nil"/>
              <w:bottom w:val="nil"/>
              <w:right w:val="nil"/>
            </w:tcBorders>
            <w:shd w:val="clear" w:color="000000" w:fill="EDEDED"/>
            <w:vAlign w:val="center"/>
            <w:hideMark/>
          </w:tcPr>
          <w:p w14:paraId="2000AD57"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c>
          <w:tcPr>
            <w:tcW w:w="2982" w:type="dxa"/>
            <w:tcBorders>
              <w:top w:val="nil"/>
              <w:left w:val="nil"/>
              <w:bottom w:val="nil"/>
              <w:right w:val="nil"/>
            </w:tcBorders>
            <w:shd w:val="clear" w:color="000000" w:fill="EDEDED"/>
            <w:hideMark/>
          </w:tcPr>
          <w:p w14:paraId="5506A2E5"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c>
          <w:tcPr>
            <w:tcW w:w="3762" w:type="dxa"/>
            <w:tcBorders>
              <w:top w:val="nil"/>
              <w:left w:val="nil"/>
              <w:bottom w:val="nil"/>
              <w:right w:val="nil"/>
            </w:tcBorders>
            <w:shd w:val="clear" w:color="000000" w:fill="EDEDED"/>
            <w:noWrap/>
            <w:vAlign w:val="bottom"/>
            <w:hideMark/>
          </w:tcPr>
          <w:p w14:paraId="7AA3FF2F"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r>
      <w:tr w:rsidR="00440D14" w:rsidRPr="00440D14" w14:paraId="40E756E5" w14:textId="77777777" w:rsidTr="005E6EFE">
        <w:trPr>
          <w:trHeight w:val="582"/>
        </w:trPr>
        <w:tc>
          <w:tcPr>
            <w:tcW w:w="2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24B0"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Community</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724F1"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Develop the community of educational researchers, develop the network of this community, and enhance educational research via Educational Based Research Networks.</w:t>
            </w:r>
          </w:p>
        </w:tc>
        <w:tc>
          <w:tcPr>
            <w:tcW w:w="3762" w:type="dxa"/>
            <w:tcBorders>
              <w:top w:val="single" w:sz="4" w:space="0" w:color="auto"/>
              <w:left w:val="nil"/>
              <w:bottom w:val="single" w:sz="4" w:space="0" w:color="auto"/>
              <w:right w:val="single" w:sz="4" w:space="0" w:color="auto"/>
            </w:tcBorders>
            <w:shd w:val="clear" w:color="auto" w:fill="auto"/>
            <w:hideMark/>
          </w:tcPr>
          <w:p w14:paraId="1E410EF4"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Offer programming that develops education research literacy.</w:t>
            </w:r>
          </w:p>
        </w:tc>
      </w:tr>
      <w:tr w:rsidR="00440D14" w:rsidRPr="00440D14" w14:paraId="3832C653" w14:textId="77777777" w:rsidTr="005E6EFE">
        <w:trPr>
          <w:trHeight w:val="582"/>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05FD6823"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6590AB21"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7A01F577"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Identify the pool of interested persons who want to be mentored.</w:t>
            </w:r>
          </w:p>
        </w:tc>
      </w:tr>
      <w:tr w:rsidR="00440D14" w:rsidRPr="00440D14" w14:paraId="526727FC" w14:textId="77777777" w:rsidTr="005E6EFE">
        <w:trPr>
          <w:trHeight w:val="667"/>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0EEF2DCE"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08BCEE8A"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5317C82C"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Develop a multi-site network of mentors, known as the Education Based Research Network (EBRN).</w:t>
            </w:r>
          </w:p>
        </w:tc>
      </w:tr>
      <w:tr w:rsidR="00440D14" w:rsidRPr="00440D14" w14:paraId="328349C7" w14:textId="77777777" w:rsidTr="005E6EFE">
        <w:trPr>
          <w:trHeight w:val="582"/>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5A75CCE1"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441C7E0"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1A9DCB0C"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Identify mentors in collaboration with the Scholarship of Education SIG.</w:t>
            </w:r>
          </w:p>
        </w:tc>
      </w:tr>
      <w:tr w:rsidR="00440D14" w:rsidRPr="00440D14" w14:paraId="49406927" w14:textId="77777777" w:rsidTr="005E6EFE">
        <w:trPr>
          <w:trHeight w:val="291"/>
        </w:trPr>
        <w:tc>
          <w:tcPr>
            <w:tcW w:w="2232" w:type="dxa"/>
            <w:tcBorders>
              <w:top w:val="nil"/>
              <w:left w:val="nil"/>
              <w:bottom w:val="nil"/>
              <w:right w:val="nil"/>
            </w:tcBorders>
            <w:shd w:val="clear" w:color="000000" w:fill="EDEDED"/>
            <w:vAlign w:val="center"/>
            <w:hideMark/>
          </w:tcPr>
          <w:p w14:paraId="71B21688" w14:textId="3DA444A4" w:rsidR="00440D14" w:rsidRPr="00440D14" w:rsidRDefault="00440D14" w:rsidP="007806F0">
            <w:pPr>
              <w:rPr>
                <w:rFonts w:asciiTheme="majorHAnsi" w:eastAsia="Times New Roman" w:hAnsiTheme="majorHAnsi" w:cstheme="majorHAnsi"/>
                <w:color w:val="000000"/>
                <w:sz w:val="20"/>
                <w:szCs w:val="20"/>
              </w:rPr>
            </w:pPr>
          </w:p>
        </w:tc>
        <w:tc>
          <w:tcPr>
            <w:tcW w:w="2982" w:type="dxa"/>
            <w:tcBorders>
              <w:top w:val="nil"/>
              <w:left w:val="nil"/>
              <w:bottom w:val="nil"/>
              <w:right w:val="nil"/>
            </w:tcBorders>
            <w:shd w:val="clear" w:color="000000" w:fill="EDEDED"/>
            <w:hideMark/>
          </w:tcPr>
          <w:p w14:paraId="581744EF"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c>
          <w:tcPr>
            <w:tcW w:w="3762" w:type="dxa"/>
            <w:tcBorders>
              <w:top w:val="nil"/>
              <w:left w:val="nil"/>
              <w:bottom w:val="nil"/>
              <w:right w:val="nil"/>
            </w:tcBorders>
            <w:shd w:val="clear" w:color="000000" w:fill="EDEDED"/>
            <w:noWrap/>
            <w:vAlign w:val="bottom"/>
            <w:hideMark/>
          </w:tcPr>
          <w:p w14:paraId="0FBC6376"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r>
      <w:tr w:rsidR="00440D14" w:rsidRPr="00440D14" w14:paraId="5F612A66" w14:textId="77777777" w:rsidTr="005E6EFE">
        <w:trPr>
          <w:trHeight w:val="363"/>
        </w:trPr>
        <w:tc>
          <w:tcPr>
            <w:tcW w:w="2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DB5A"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Academic Analytics/ Big Data</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01F1E6"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xml:space="preserve">Create a centralized and searchable system to hold large data sets to facilitate easier analysis so processes and outcomes are more efficient and </w:t>
            </w:r>
            <w:r w:rsidRPr="00440D14">
              <w:rPr>
                <w:rFonts w:asciiTheme="majorHAnsi" w:eastAsia="Times New Roman" w:hAnsiTheme="majorHAnsi" w:cstheme="majorHAnsi"/>
                <w:color w:val="000000"/>
                <w:sz w:val="20"/>
                <w:szCs w:val="20"/>
              </w:rPr>
              <w:lastRenderedPageBreak/>
              <w:t>effective in order to drive innovation in academic and clinical education, practice, and workforce.</w:t>
            </w:r>
          </w:p>
        </w:tc>
        <w:tc>
          <w:tcPr>
            <w:tcW w:w="3762" w:type="dxa"/>
            <w:tcBorders>
              <w:top w:val="single" w:sz="4" w:space="0" w:color="auto"/>
              <w:left w:val="nil"/>
              <w:bottom w:val="single" w:sz="4" w:space="0" w:color="auto"/>
              <w:right w:val="single" w:sz="4" w:space="0" w:color="auto"/>
            </w:tcBorders>
            <w:shd w:val="clear" w:color="auto" w:fill="auto"/>
            <w:hideMark/>
          </w:tcPr>
          <w:p w14:paraId="05A9D51B"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lastRenderedPageBreak/>
              <w:t>Conduct a comprehensive data needs assessment</w:t>
            </w:r>
          </w:p>
        </w:tc>
      </w:tr>
      <w:tr w:rsidR="00440D14" w:rsidRPr="00440D14" w14:paraId="170E9C1D" w14:textId="77777777" w:rsidTr="005E6EFE">
        <w:trPr>
          <w:trHeight w:val="582"/>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2DA470BC"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1885A26F"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59B53066"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Explore what CAPTE data is currently available for use by educational researchers.</w:t>
            </w:r>
          </w:p>
        </w:tc>
      </w:tr>
      <w:tr w:rsidR="00440D14" w:rsidRPr="00440D14" w14:paraId="46BBD90B" w14:textId="77777777" w:rsidTr="005E6EFE">
        <w:trPr>
          <w:trHeight w:val="1165"/>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2687BCF5"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4068D43A"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10A28B04"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Create a unique student identifier for physical therapy education to connect datasets, facilitate research for education and workforce purposes, and eliminate duplicate records.</w:t>
            </w:r>
          </w:p>
        </w:tc>
      </w:tr>
      <w:tr w:rsidR="00440D14" w:rsidRPr="00440D14" w14:paraId="3B65C794" w14:textId="77777777" w:rsidTr="005E6EFE">
        <w:trPr>
          <w:trHeight w:val="874"/>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2F824481"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338AC39C"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6D7EFABB"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Create a centralized and searchable education research repository to facilitate access to past journal articles, session abstracts, and poster abstracts.</w:t>
            </w:r>
          </w:p>
        </w:tc>
      </w:tr>
      <w:tr w:rsidR="00440D14" w:rsidRPr="00440D14" w14:paraId="440E8C21" w14:textId="77777777" w:rsidTr="005E6EFE">
        <w:trPr>
          <w:trHeight w:val="652"/>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4AA6451E"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67B66D42"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5C8A6341"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Explore development of a centralized institutional data repository for physical therapy education.</w:t>
            </w:r>
          </w:p>
        </w:tc>
      </w:tr>
      <w:tr w:rsidR="00440D14" w:rsidRPr="00440D14" w14:paraId="2692F2B5" w14:textId="77777777" w:rsidTr="005E6EFE">
        <w:trPr>
          <w:trHeight w:val="291"/>
        </w:trPr>
        <w:tc>
          <w:tcPr>
            <w:tcW w:w="2232" w:type="dxa"/>
            <w:tcBorders>
              <w:top w:val="nil"/>
              <w:left w:val="nil"/>
              <w:bottom w:val="nil"/>
              <w:right w:val="nil"/>
            </w:tcBorders>
            <w:shd w:val="clear" w:color="000000" w:fill="EDEDED"/>
            <w:vAlign w:val="center"/>
            <w:hideMark/>
          </w:tcPr>
          <w:p w14:paraId="7D22ADD1"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c>
          <w:tcPr>
            <w:tcW w:w="2982" w:type="dxa"/>
            <w:tcBorders>
              <w:top w:val="nil"/>
              <w:left w:val="nil"/>
              <w:bottom w:val="nil"/>
              <w:right w:val="nil"/>
            </w:tcBorders>
            <w:shd w:val="clear" w:color="000000" w:fill="EDEDED"/>
            <w:hideMark/>
          </w:tcPr>
          <w:p w14:paraId="36733758"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c>
          <w:tcPr>
            <w:tcW w:w="3762" w:type="dxa"/>
            <w:tcBorders>
              <w:top w:val="nil"/>
              <w:left w:val="nil"/>
              <w:bottom w:val="nil"/>
              <w:right w:val="nil"/>
            </w:tcBorders>
            <w:shd w:val="clear" w:color="000000" w:fill="EDEDED"/>
            <w:noWrap/>
            <w:vAlign w:val="bottom"/>
            <w:hideMark/>
          </w:tcPr>
          <w:p w14:paraId="7D1EEDBA"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w:t>
            </w:r>
          </w:p>
        </w:tc>
      </w:tr>
      <w:tr w:rsidR="00440D14" w:rsidRPr="00440D14" w14:paraId="39E34D9B" w14:textId="77777777" w:rsidTr="005E6EFE">
        <w:trPr>
          <w:trHeight w:val="1457"/>
        </w:trPr>
        <w:tc>
          <w:tcPr>
            <w:tcW w:w="2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5C039" w14:textId="77777777" w:rsidR="00440D14" w:rsidRPr="00440D14" w:rsidRDefault="00440D14" w:rsidP="00440D14">
            <w:pPr>
              <w:jc w:val="cente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Funding and Infrastructure</w:t>
            </w:r>
          </w:p>
        </w:tc>
        <w:tc>
          <w:tcPr>
            <w:tcW w:w="2982" w:type="dxa"/>
            <w:tcBorders>
              <w:top w:val="single" w:sz="4" w:space="0" w:color="auto"/>
              <w:left w:val="nil"/>
              <w:bottom w:val="single" w:sz="4" w:space="0" w:color="auto"/>
              <w:right w:val="single" w:sz="4" w:space="0" w:color="auto"/>
            </w:tcBorders>
            <w:shd w:val="clear" w:color="auto" w:fill="auto"/>
            <w:hideMark/>
          </w:tcPr>
          <w:p w14:paraId="365C4CEF"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xml:space="preserve">mentor faculty to increase those who are qualified education researchers to enhance success in attaining grant funds to increase the profession’s education research capacity  </w:t>
            </w:r>
          </w:p>
        </w:tc>
        <w:tc>
          <w:tcPr>
            <w:tcW w:w="3762" w:type="dxa"/>
            <w:tcBorders>
              <w:top w:val="single" w:sz="4" w:space="0" w:color="auto"/>
              <w:left w:val="nil"/>
              <w:bottom w:val="single" w:sz="4" w:space="0" w:color="auto"/>
              <w:right w:val="single" w:sz="4" w:space="0" w:color="auto"/>
            </w:tcBorders>
            <w:shd w:val="clear" w:color="auto" w:fill="auto"/>
            <w:hideMark/>
          </w:tcPr>
          <w:p w14:paraId="0E003AFA"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Establishment of a new Grants and Mentorship in Educational Research (GAMER)</w:t>
            </w:r>
          </w:p>
        </w:tc>
      </w:tr>
      <w:tr w:rsidR="00440D14" w:rsidRPr="00440D14" w14:paraId="1ABD72FC" w14:textId="77777777" w:rsidTr="005E6EFE">
        <w:trPr>
          <w:trHeight w:val="1047"/>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60250368"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val="restart"/>
            <w:tcBorders>
              <w:top w:val="nil"/>
              <w:left w:val="single" w:sz="4" w:space="0" w:color="auto"/>
              <w:bottom w:val="single" w:sz="4" w:space="0" w:color="auto"/>
              <w:right w:val="single" w:sz="4" w:space="0" w:color="auto"/>
            </w:tcBorders>
            <w:shd w:val="clear" w:color="auto" w:fill="auto"/>
            <w:vAlign w:val="center"/>
            <w:hideMark/>
          </w:tcPr>
          <w:p w14:paraId="07008D4B"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 xml:space="preserve">Development of new Educational Research funding opportunities based upon identified priorities. </w:t>
            </w:r>
          </w:p>
        </w:tc>
        <w:tc>
          <w:tcPr>
            <w:tcW w:w="3762" w:type="dxa"/>
            <w:tcBorders>
              <w:top w:val="nil"/>
              <w:left w:val="nil"/>
              <w:bottom w:val="single" w:sz="4" w:space="0" w:color="auto"/>
              <w:right w:val="single" w:sz="4" w:space="0" w:color="auto"/>
            </w:tcBorders>
            <w:shd w:val="clear" w:color="auto" w:fill="auto"/>
            <w:hideMark/>
          </w:tcPr>
          <w:p w14:paraId="3B3927ED"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Review criteria for current funding opportunities for educational research and publicize using a link specific to educational research opportunities.</w:t>
            </w:r>
          </w:p>
        </w:tc>
      </w:tr>
      <w:tr w:rsidR="00440D14" w:rsidRPr="00440D14" w14:paraId="37132B85" w14:textId="77777777" w:rsidTr="005E6EFE">
        <w:trPr>
          <w:trHeight w:val="1748"/>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70F0F6C0" w14:textId="77777777" w:rsidR="00440D14" w:rsidRPr="00440D14" w:rsidRDefault="00440D14" w:rsidP="00440D14">
            <w:pPr>
              <w:rPr>
                <w:rFonts w:asciiTheme="majorHAnsi" w:eastAsia="Times New Roman" w:hAnsiTheme="majorHAnsi" w:cstheme="majorHAnsi"/>
                <w:color w:val="000000"/>
                <w:sz w:val="20"/>
                <w:szCs w:val="20"/>
              </w:rPr>
            </w:pPr>
          </w:p>
        </w:tc>
        <w:tc>
          <w:tcPr>
            <w:tcW w:w="2982" w:type="dxa"/>
            <w:vMerge/>
            <w:tcBorders>
              <w:top w:val="nil"/>
              <w:left w:val="single" w:sz="4" w:space="0" w:color="auto"/>
              <w:bottom w:val="single" w:sz="4" w:space="0" w:color="auto"/>
              <w:right w:val="single" w:sz="4" w:space="0" w:color="auto"/>
            </w:tcBorders>
            <w:vAlign w:val="center"/>
            <w:hideMark/>
          </w:tcPr>
          <w:p w14:paraId="67370F58" w14:textId="77777777" w:rsidR="00440D14" w:rsidRPr="00440D14" w:rsidRDefault="00440D14" w:rsidP="00440D14">
            <w:pPr>
              <w:rPr>
                <w:rFonts w:asciiTheme="majorHAnsi" w:eastAsia="Times New Roman" w:hAnsiTheme="majorHAnsi" w:cstheme="majorHAnsi"/>
                <w:color w:val="000000"/>
                <w:sz w:val="20"/>
                <w:szCs w:val="20"/>
              </w:rPr>
            </w:pPr>
          </w:p>
        </w:tc>
        <w:tc>
          <w:tcPr>
            <w:tcW w:w="3762" w:type="dxa"/>
            <w:tcBorders>
              <w:top w:val="nil"/>
              <w:left w:val="nil"/>
              <w:bottom w:val="single" w:sz="4" w:space="0" w:color="auto"/>
              <w:right w:val="single" w:sz="4" w:space="0" w:color="auto"/>
            </w:tcBorders>
            <w:shd w:val="clear" w:color="auto" w:fill="auto"/>
            <w:hideMark/>
          </w:tcPr>
          <w:p w14:paraId="46549CE1" w14:textId="77777777" w:rsidR="00440D14" w:rsidRPr="00440D14" w:rsidRDefault="00440D14" w:rsidP="00440D14">
            <w:pPr>
              <w:rPr>
                <w:rFonts w:asciiTheme="majorHAnsi" w:eastAsia="Times New Roman" w:hAnsiTheme="majorHAnsi" w:cstheme="majorHAnsi"/>
                <w:color w:val="000000"/>
                <w:sz w:val="20"/>
                <w:szCs w:val="20"/>
              </w:rPr>
            </w:pPr>
            <w:r w:rsidRPr="00440D14">
              <w:rPr>
                <w:rFonts w:asciiTheme="majorHAnsi" w:eastAsia="Times New Roman" w:hAnsiTheme="majorHAnsi" w:cstheme="majorHAnsi"/>
                <w:color w:val="000000"/>
                <w:sz w:val="20"/>
                <w:szCs w:val="20"/>
              </w:rPr>
              <w:t>Publicizing the Legacy Partners (Bequests) program of the Foundation for Physical Therapy with individuals who are interested in funding educational research in the future. Share information about the Bella J. May Scholarship Fund and the Mildred Wood Endowment Fund.</w:t>
            </w:r>
          </w:p>
        </w:tc>
      </w:tr>
    </w:tbl>
    <w:p w14:paraId="6622F2C6" w14:textId="77777777" w:rsidR="00440D14" w:rsidRDefault="00440D14" w:rsidP="00277E3D">
      <w:pPr>
        <w:rPr>
          <w:rFonts w:ascii="Times New Roman" w:hAnsi="Times New Roman" w:cs="Times New Roman"/>
          <w:sz w:val="22"/>
          <w:szCs w:val="22"/>
        </w:rPr>
      </w:pPr>
    </w:p>
    <w:p w14:paraId="598D282C" w14:textId="6D4FE2A4" w:rsidR="00EE0422" w:rsidRPr="00AE6737" w:rsidRDefault="00FB4D01" w:rsidP="00277E3D">
      <w:r>
        <w:rPr>
          <w:noProof/>
        </w:rPr>
        <w:drawing>
          <wp:inline distT="0" distB="0" distL="0" distR="0" wp14:anchorId="2CB69787" wp14:editId="54682A9C">
            <wp:extent cx="5486400" cy="308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86350"/>
                    </a:xfrm>
                    <a:prstGeom prst="rect">
                      <a:avLst/>
                    </a:prstGeom>
                    <a:noFill/>
                  </pic:spPr>
                </pic:pic>
              </a:graphicData>
            </a:graphic>
          </wp:inline>
        </w:drawing>
      </w:r>
    </w:p>
    <w:sectPr w:rsidR="00EE0422" w:rsidRPr="00AE6737" w:rsidSect="00BD0E2F">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E2BFE" w16cid:durableId="20F150FB"/>
  <w16cid:commentId w16cid:paraId="03C2F6AC" w16cid:durableId="20F1523A"/>
  <w16cid:commentId w16cid:paraId="4E8FE8C0" w16cid:durableId="20F152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406"/>
    <w:multiLevelType w:val="hybridMultilevel"/>
    <w:tmpl w:val="6BCE1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85323B"/>
    <w:multiLevelType w:val="hybridMultilevel"/>
    <w:tmpl w:val="9BB8903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FB7920"/>
    <w:multiLevelType w:val="singleLevel"/>
    <w:tmpl w:val="42AE6FA4"/>
    <w:lvl w:ilvl="0">
      <w:start w:val="6"/>
      <w:numFmt w:val="decimal"/>
      <w:lvlText w:val="%1)"/>
      <w:lvlJc w:val="left"/>
      <w:pPr>
        <w:tabs>
          <w:tab w:val="num" w:pos="1080"/>
        </w:tabs>
        <w:ind w:left="1080" w:hanging="360"/>
      </w:pPr>
      <w:rPr>
        <w:rFonts w:hint="default"/>
      </w:rPr>
    </w:lvl>
  </w:abstractNum>
  <w:abstractNum w:abstractNumId="3" w15:restartNumberingAfterBreak="0">
    <w:nsid w:val="174558CD"/>
    <w:multiLevelType w:val="singleLevel"/>
    <w:tmpl w:val="D8BEB1D2"/>
    <w:lvl w:ilvl="0">
      <w:start w:val="3"/>
      <w:numFmt w:val="decimal"/>
      <w:lvlText w:val="%1)"/>
      <w:lvlJc w:val="left"/>
      <w:pPr>
        <w:tabs>
          <w:tab w:val="num" w:pos="1080"/>
        </w:tabs>
        <w:ind w:left="1080" w:hanging="360"/>
      </w:pPr>
      <w:rPr>
        <w:rFonts w:hint="default"/>
      </w:rPr>
    </w:lvl>
  </w:abstractNum>
  <w:abstractNum w:abstractNumId="4" w15:restartNumberingAfterBreak="0">
    <w:nsid w:val="20370FCE"/>
    <w:multiLevelType w:val="hybridMultilevel"/>
    <w:tmpl w:val="224C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92727"/>
    <w:multiLevelType w:val="hybridMultilevel"/>
    <w:tmpl w:val="A09C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6389A"/>
    <w:multiLevelType w:val="singleLevel"/>
    <w:tmpl w:val="4C06FA12"/>
    <w:lvl w:ilvl="0">
      <w:start w:val="8"/>
      <w:numFmt w:val="decimal"/>
      <w:lvlText w:val="%1)"/>
      <w:lvlJc w:val="left"/>
      <w:pPr>
        <w:tabs>
          <w:tab w:val="num" w:pos="1080"/>
        </w:tabs>
        <w:ind w:left="1080" w:hanging="360"/>
      </w:pPr>
      <w:rPr>
        <w:rFonts w:hint="default"/>
      </w:rPr>
    </w:lvl>
  </w:abstractNum>
  <w:abstractNum w:abstractNumId="7" w15:restartNumberingAfterBreak="0">
    <w:nsid w:val="3A784E6A"/>
    <w:multiLevelType w:val="hybridMultilevel"/>
    <w:tmpl w:val="00D41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06D28"/>
    <w:multiLevelType w:val="hybridMultilevel"/>
    <w:tmpl w:val="D870D5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14116"/>
    <w:multiLevelType w:val="hybridMultilevel"/>
    <w:tmpl w:val="39AE3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EC34FA0"/>
    <w:multiLevelType w:val="hybridMultilevel"/>
    <w:tmpl w:val="C44A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1790F"/>
    <w:multiLevelType w:val="hybridMultilevel"/>
    <w:tmpl w:val="EA7C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B725B"/>
    <w:multiLevelType w:val="hybridMultilevel"/>
    <w:tmpl w:val="B04CC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CAE5103"/>
    <w:multiLevelType w:val="hybridMultilevel"/>
    <w:tmpl w:val="37B227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927AB"/>
    <w:multiLevelType w:val="hybridMultilevel"/>
    <w:tmpl w:val="67AE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072A68"/>
    <w:multiLevelType w:val="hybridMultilevel"/>
    <w:tmpl w:val="0E38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72CEB"/>
    <w:multiLevelType w:val="hybridMultilevel"/>
    <w:tmpl w:val="BE4297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7"/>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8"/>
  </w:num>
  <w:num w:numId="14">
    <w:abstractNumId w:val="15"/>
  </w:num>
  <w:num w:numId="15">
    <w:abstractNumId w:val="4"/>
  </w:num>
  <w:num w:numId="16">
    <w:abstractNumId w:val="1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3D"/>
    <w:rsid w:val="00094FF7"/>
    <w:rsid w:val="001318F1"/>
    <w:rsid w:val="00180FCC"/>
    <w:rsid w:val="001A18A5"/>
    <w:rsid w:val="001C2859"/>
    <w:rsid w:val="00226AB4"/>
    <w:rsid w:val="00262F92"/>
    <w:rsid w:val="002654B3"/>
    <w:rsid w:val="0027591D"/>
    <w:rsid w:val="00277E3D"/>
    <w:rsid w:val="002D5F75"/>
    <w:rsid w:val="0030454A"/>
    <w:rsid w:val="00324CD9"/>
    <w:rsid w:val="00367263"/>
    <w:rsid w:val="00383613"/>
    <w:rsid w:val="003B1822"/>
    <w:rsid w:val="003F422D"/>
    <w:rsid w:val="00422270"/>
    <w:rsid w:val="00440D14"/>
    <w:rsid w:val="005E6EFE"/>
    <w:rsid w:val="00664FAB"/>
    <w:rsid w:val="0066748D"/>
    <w:rsid w:val="00684731"/>
    <w:rsid w:val="00725121"/>
    <w:rsid w:val="007806F0"/>
    <w:rsid w:val="007F38FA"/>
    <w:rsid w:val="00800769"/>
    <w:rsid w:val="00826819"/>
    <w:rsid w:val="00844CD2"/>
    <w:rsid w:val="008C1621"/>
    <w:rsid w:val="008D282A"/>
    <w:rsid w:val="00913571"/>
    <w:rsid w:val="009C2103"/>
    <w:rsid w:val="00A77AAB"/>
    <w:rsid w:val="00A91BC0"/>
    <w:rsid w:val="00AD2FD1"/>
    <w:rsid w:val="00AD698E"/>
    <w:rsid w:val="00AE6737"/>
    <w:rsid w:val="00B8246D"/>
    <w:rsid w:val="00BC58B8"/>
    <w:rsid w:val="00BD0A66"/>
    <w:rsid w:val="00BD0E2F"/>
    <w:rsid w:val="00BD7A07"/>
    <w:rsid w:val="00BE3AB5"/>
    <w:rsid w:val="00C23E74"/>
    <w:rsid w:val="00C512E5"/>
    <w:rsid w:val="00C60ED4"/>
    <w:rsid w:val="00CF2E72"/>
    <w:rsid w:val="00DC0769"/>
    <w:rsid w:val="00DD3355"/>
    <w:rsid w:val="00E17AB3"/>
    <w:rsid w:val="00E5126F"/>
    <w:rsid w:val="00E562D2"/>
    <w:rsid w:val="00E7235F"/>
    <w:rsid w:val="00E75B28"/>
    <w:rsid w:val="00ED2160"/>
    <w:rsid w:val="00EE0422"/>
    <w:rsid w:val="00EE56C5"/>
    <w:rsid w:val="00EE7B76"/>
    <w:rsid w:val="00F031BA"/>
    <w:rsid w:val="00F472A5"/>
    <w:rsid w:val="00F734A2"/>
    <w:rsid w:val="00F77D0F"/>
    <w:rsid w:val="00F820ED"/>
    <w:rsid w:val="00FB4D01"/>
    <w:rsid w:val="00FD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o:shapedefaults>
    <o:shapelayout v:ext="edit">
      <o:idmap v:ext="edit" data="1"/>
    </o:shapelayout>
  </w:shapeDefaults>
  <w:decimalSymbol w:val="."/>
  <w:listSeparator w:val=","/>
  <w14:docId w14:val="7E6F6A03"/>
  <w15:docId w15:val="{1F79D6C2-30F0-406F-A417-0DB84990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77E3D"/>
    <w:pPr>
      <w:tabs>
        <w:tab w:val="left" w:pos="360"/>
        <w:tab w:val="left" w:pos="720"/>
        <w:tab w:val="left" w:pos="1080"/>
        <w:tab w:val="left" w:pos="1440"/>
        <w:tab w:val="left" w:pos="1800"/>
      </w:tabs>
    </w:pPr>
    <w:rPr>
      <w:rFonts w:ascii="Courier" w:eastAsia="Times New Roman" w:hAnsi="Courier" w:cs="Times New Roman"/>
      <w:snapToGrid w:val="0"/>
      <w:color w:val="000000"/>
      <w:sz w:val="20"/>
      <w:szCs w:val="20"/>
    </w:rPr>
  </w:style>
  <w:style w:type="character" w:customStyle="1" w:styleId="BodyTextChar">
    <w:name w:val="Body Text Char"/>
    <w:basedOn w:val="DefaultParagraphFont"/>
    <w:link w:val="BodyText"/>
    <w:semiHidden/>
    <w:rsid w:val="00277E3D"/>
    <w:rPr>
      <w:rFonts w:ascii="Courier" w:eastAsia="Times New Roman" w:hAnsi="Courier" w:cs="Times New Roman"/>
      <w:snapToGrid w:val="0"/>
      <w:color w:val="000000"/>
      <w:sz w:val="20"/>
      <w:szCs w:val="20"/>
    </w:rPr>
  </w:style>
  <w:style w:type="paragraph" w:styleId="ListParagraph">
    <w:name w:val="List Paragraph"/>
    <w:basedOn w:val="Normal"/>
    <w:uiPriority w:val="34"/>
    <w:qFormat/>
    <w:rsid w:val="00277E3D"/>
    <w:pPr>
      <w:ind w:left="720"/>
      <w:contextualSpacing/>
    </w:pPr>
  </w:style>
  <w:style w:type="character" w:styleId="Hyperlink">
    <w:name w:val="Hyperlink"/>
    <w:basedOn w:val="DefaultParagraphFont"/>
    <w:uiPriority w:val="99"/>
    <w:semiHidden/>
    <w:unhideWhenUsed/>
    <w:rsid w:val="00324CD9"/>
    <w:rPr>
      <w:color w:val="0000FF"/>
      <w:u w:val="single"/>
    </w:rPr>
  </w:style>
  <w:style w:type="paragraph" w:styleId="BalloonText">
    <w:name w:val="Balloon Text"/>
    <w:basedOn w:val="Normal"/>
    <w:link w:val="BalloonTextChar"/>
    <w:uiPriority w:val="99"/>
    <w:semiHidden/>
    <w:unhideWhenUsed/>
    <w:rsid w:val="00B82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46D"/>
    <w:rPr>
      <w:rFonts w:ascii="Segoe UI" w:hAnsi="Segoe UI" w:cs="Segoe UI"/>
      <w:sz w:val="18"/>
      <w:szCs w:val="18"/>
    </w:rPr>
  </w:style>
  <w:style w:type="character" w:styleId="CommentReference">
    <w:name w:val="annotation reference"/>
    <w:basedOn w:val="DefaultParagraphFont"/>
    <w:uiPriority w:val="99"/>
    <w:semiHidden/>
    <w:unhideWhenUsed/>
    <w:rsid w:val="00B8246D"/>
    <w:rPr>
      <w:sz w:val="16"/>
      <w:szCs w:val="16"/>
    </w:rPr>
  </w:style>
  <w:style w:type="paragraph" w:styleId="CommentText">
    <w:name w:val="annotation text"/>
    <w:basedOn w:val="Normal"/>
    <w:link w:val="CommentTextChar"/>
    <w:uiPriority w:val="99"/>
    <w:semiHidden/>
    <w:unhideWhenUsed/>
    <w:rsid w:val="00B8246D"/>
    <w:rPr>
      <w:sz w:val="20"/>
      <w:szCs w:val="20"/>
    </w:rPr>
  </w:style>
  <w:style w:type="character" w:customStyle="1" w:styleId="CommentTextChar">
    <w:name w:val="Comment Text Char"/>
    <w:basedOn w:val="DefaultParagraphFont"/>
    <w:link w:val="CommentText"/>
    <w:uiPriority w:val="99"/>
    <w:semiHidden/>
    <w:rsid w:val="00B8246D"/>
    <w:rPr>
      <w:sz w:val="20"/>
      <w:szCs w:val="20"/>
    </w:rPr>
  </w:style>
  <w:style w:type="paragraph" w:styleId="CommentSubject">
    <w:name w:val="annotation subject"/>
    <w:basedOn w:val="CommentText"/>
    <w:next w:val="CommentText"/>
    <w:link w:val="CommentSubjectChar"/>
    <w:uiPriority w:val="99"/>
    <w:semiHidden/>
    <w:unhideWhenUsed/>
    <w:rsid w:val="00B8246D"/>
    <w:rPr>
      <w:b/>
      <w:bCs/>
    </w:rPr>
  </w:style>
  <w:style w:type="character" w:customStyle="1" w:styleId="CommentSubjectChar">
    <w:name w:val="Comment Subject Char"/>
    <w:basedOn w:val="CommentTextChar"/>
    <w:link w:val="CommentSubject"/>
    <w:uiPriority w:val="99"/>
    <w:semiHidden/>
    <w:rsid w:val="00B8246D"/>
    <w:rPr>
      <w:b/>
      <w:bCs/>
      <w:sz w:val="20"/>
      <w:szCs w:val="20"/>
    </w:rPr>
  </w:style>
  <w:style w:type="character" w:styleId="FollowedHyperlink">
    <w:name w:val="FollowedHyperlink"/>
    <w:basedOn w:val="DefaultParagraphFont"/>
    <w:uiPriority w:val="99"/>
    <w:semiHidden/>
    <w:unhideWhenUsed/>
    <w:rsid w:val="00725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6353">
      <w:bodyDiv w:val="1"/>
      <w:marLeft w:val="0"/>
      <w:marRight w:val="0"/>
      <w:marTop w:val="0"/>
      <w:marBottom w:val="0"/>
      <w:divBdr>
        <w:top w:val="none" w:sz="0" w:space="0" w:color="auto"/>
        <w:left w:val="none" w:sz="0" w:space="0" w:color="auto"/>
        <w:bottom w:val="none" w:sz="0" w:space="0" w:color="auto"/>
        <w:right w:val="none" w:sz="0" w:space="0" w:color="auto"/>
      </w:divBdr>
    </w:div>
    <w:div w:id="268007930">
      <w:bodyDiv w:val="1"/>
      <w:marLeft w:val="0"/>
      <w:marRight w:val="0"/>
      <w:marTop w:val="0"/>
      <w:marBottom w:val="0"/>
      <w:divBdr>
        <w:top w:val="none" w:sz="0" w:space="0" w:color="auto"/>
        <w:left w:val="none" w:sz="0" w:space="0" w:color="auto"/>
        <w:bottom w:val="none" w:sz="0" w:space="0" w:color="auto"/>
        <w:right w:val="none" w:sz="0" w:space="0" w:color="auto"/>
      </w:divBdr>
    </w:div>
    <w:div w:id="431979180">
      <w:bodyDiv w:val="1"/>
      <w:marLeft w:val="0"/>
      <w:marRight w:val="0"/>
      <w:marTop w:val="0"/>
      <w:marBottom w:val="0"/>
      <w:divBdr>
        <w:top w:val="none" w:sz="0" w:space="0" w:color="auto"/>
        <w:left w:val="none" w:sz="0" w:space="0" w:color="auto"/>
        <w:bottom w:val="none" w:sz="0" w:space="0" w:color="auto"/>
        <w:right w:val="none" w:sz="0" w:space="0" w:color="auto"/>
      </w:divBdr>
    </w:div>
    <w:div w:id="917667037">
      <w:bodyDiv w:val="1"/>
      <w:marLeft w:val="0"/>
      <w:marRight w:val="0"/>
      <w:marTop w:val="0"/>
      <w:marBottom w:val="0"/>
      <w:divBdr>
        <w:top w:val="none" w:sz="0" w:space="0" w:color="auto"/>
        <w:left w:val="none" w:sz="0" w:space="0" w:color="auto"/>
        <w:bottom w:val="none" w:sz="0" w:space="0" w:color="auto"/>
        <w:right w:val="none" w:sz="0" w:space="0" w:color="auto"/>
      </w:divBdr>
    </w:div>
    <w:div w:id="969441118">
      <w:bodyDiv w:val="1"/>
      <w:marLeft w:val="0"/>
      <w:marRight w:val="0"/>
      <w:marTop w:val="0"/>
      <w:marBottom w:val="0"/>
      <w:divBdr>
        <w:top w:val="none" w:sz="0" w:space="0" w:color="auto"/>
        <w:left w:val="none" w:sz="0" w:space="0" w:color="auto"/>
        <w:bottom w:val="none" w:sz="0" w:space="0" w:color="auto"/>
        <w:right w:val="none" w:sz="0" w:space="0" w:color="auto"/>
      </w:divBdr>
    </w:div>
    <w:div w:id="1602756762">
      <w:bodyDiv w:val="1"/>
      <w:marLeft w:val="0"/>
      <w:marRight w:val="0"/>
      <w:marTop w:val="0"/>
      <w:marBottom w:val="0"/>
      <w:divBdr>
        <w:top w:val="none" w:sz="0" w:space="0" w:color="auto"/>
        <w:left w:val="none" w:sz="0" w:space="0" w:color="auto"/>
        <w:bottom w:val="none" w:sz="0" w:space="0" w:color="auto"/>
        <w:right w:val="none" w:sz="0" w:space="0" w:color="auto"/>
      </w:divBdr>
    </w:div>
    <w:div w:id="210583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Seif</dc:creator>
  <cp:lastModifiedBy>Brooks, Sandy</cp:lastModifiedBy>
  <cp:revision>2</cp:revision>
  <dcterms:created xsi:type="dcterms:W3CDTF">2019-12-31T13:58:00Z</dcterms:created>
  <dcterms:modified xsi:type="dcterms:W3CDTF">2019-12-31T13:58:00Z</dcterms:modified>
</cp:coreProperties>
</file>